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097" w:x="4023" w:y="1572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32"/>
          <w:szCs w:val="22"/>
          <w:lang w:val="en-US" w:eastAsia="en-US" w:bidi="ar-SA"/>
        </w:rPr>
        <w:t>山东先达农化股份有限公司</w:t>
      </w:r>
    </w:p>
    <w:p>
      <w:pPr>
        <w:framePr w:w="3856" w:x="4143" w:y="219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32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pacing w:val="1"/>
          <w:sz w:val="32"/>
          <w:szCs w:val="22"/>
          <w:lang w:val="en-US" w:eastAsia="en-US" w:bidi="ar-SA"/>
        </w:rPr>
        <w:t>年度董事会工作报告</w:t>
      </w:r>
    </w:p>
    <w:p>
      <w:pPr>
        <w:framePr w:w="9120" w:x="1752" w:y="2939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4"/>
          <w:szCs w:val="22"/>
          <w:lang w:val="en-US" w:eastAsia="en-US" w:bidi="ar-SA"/>
        </w:rPr>
        <w:t>年，山东先达农化股份有限公司（以下简称“公司”）董事会严格遵守</w:t>
      </w:r>
    </w:p>
    <w:p>
      <w:pPr>
        <w:framePr w:w="9120" w:x="1752" w:y="2939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3"/>
          <w:szCs w:val="22"/>
          <w:lang w:val="en-US" w:eastAsia="en-US" w:bidi="ar-SA"/>
        </w:rPr>
        <w:t>《公司法》《证券法》《股票上市规则》等法律法规及《公司章程》《董事会议事规</w:t>
      </w:r>
    </w:p>
    <w:p>
      <w:pPr>
        <w:framePr w:w="9120" w:x="1752" w:y="2939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则》等公司制度的规定，切实履行股东大会赋予的董事会职责，严格执行股东大</w:t>
      </w:r>
    </w:p>
    <w:p>
      <w:pPr>
        <w:framePr w:w="9120" w:x="1752" w:y="2939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会各项决议，积极推进董事会各项决议的实施，不断规范公司法人治理结构，确</w:t>
      </w:r>
    </w:p>
    <w:p>
      <w:pPr>
        <w:framePr w:w="9120" w:x="1752" w:y="2939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Cs w:val="22"/>
          <w:lang w:val="en-US" w:eastAsia="en-US" w:bidi="ar-SA"/>
        </w:rPr>
        <w:t>保董事会科学决策和规范运作，保障了公司良好的运作和可持续发展。现将</w:t>
      </w:r>
      <w:r>
        <w:rPr>
          <w:rFonts w:hAnsi="Calibri"/>
          <w:color w:val="000000"/>
          <w:spacing w:val="4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</w:p>
    <w:p>
      <w:pPr>
        <w:framePr w:w="9120" w:x="1752" w:y="2939"/>
        <w:widowControl w:val="0"/>
        <w:autoSpaceDE w:val="0"/>
        <w:autoSpaceDN w:val="0"/>
        <w:spacing w:before="229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年度董事会工作情况汇报如下：</w:t>
      </w:r>
    </w:p>
    <w:p>
      <w:pPr>
        <w:framePr w:w="2640" w:x="2232" w:y="590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一、公司总体经营情况</w:t>
      </w:r>
    </w:p>
    <w:p>
      <w:pPr>
        <w:framePr w:w="8760" w:x="1752" w:y="6528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报告期内，公司实现营业收入</w:t>
      </w:r>
      <w:r>
        <w:rPr>
          <w:rFonts w:hAnsi="Calibri"/>
          <w:color w:val="000000"/>
          <w:spacing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189,559.57</w:t>
      </w:r>
      <w:r>
        <w:rPr>
          <w:rFonts w:ascii="SimSun" w:hAnsi="Calibri"/>
          <w:color w:val="000000"/>
          <w:spacing w:val="-4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万元，较去年同期增长</w:t>
      </w:r>
      <w:r>
        <w:rPr>
          <w:rFonts w:hAnsi="Calibri"/>
          <w:color w:val="000000"/>
          <w:spacing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20.39%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；</w:t>
      </w:r>
    </w:p>
    <w:p>
      <w:pPr>
        <w:framePr w:w="8760" w:x="1752" w:y="6528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实现营业利润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22</w:t>
      </w:r>
      <w:r>
        <w:rPr>
          <w:rFonts w:ascii="SimSun" w:hAnsi="SimSun" w:cs="SimSun"/>
          <w:color w:val="000000"/>
          <w:spacing w:val="-91"/>
          <w:szCs w:val="22"/>
          <w:lang w:val="en-US" w:eastAsia="en-US" w:bidi="ar-SA"/>
        </w:rPr>
        <w:t>，</w:t>
      </w:r>
      <w:r>
        <w:rPr>
          <w:rFonts w:ascii="SimSun" w:hAnsi="Calibri"/>
          <w:color w:val="000000"/>
          <w:szCs w:val="22"/>
          <w:lang w:val="en-US" w:eastAsia="en-US" w:bidi="ar-SA"/>
        </w:rPr>
        <w:t>825.44</w:t>
      </w:r>
      <w:r>
        <w:rPr>
          <w:rFonts w:ascii="SimSun" w:hAnsi="SimSun" w:cs="SimSun"/>
          <w:color w:val="000000"/>
          <w:spacing w:val="-9"/>
          <w:szCs w:val="22"/>
          <w:lang w:val="en-US" w:eastAsia="en-US" w:bidi="ar-SA"/>
        </w:rPr>
        <w:t>万元，较去年同期下降</w:t>
      </w:r>
      <w:r>
        <w:rPr>
          <w:rFonts w:hAnsi="Calibri"/>
          <w:color w:val="000000"/>
          <w:spacing w:val="1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5.66%</w:t>
      </w:r>
      <w:r>
        <w:rPr>
          <w:rFonts w:ascii="SimSun" w:hAnsi="SimSun" w:cs="SimSun"/>
          <w:color w:val="000000"/>
          <w:spacing w:val="-13"/>
          <w:szCs w:val="22"/>
          <w:lang w:val="en-US" w:eastAsia="en-US" w:bidi="ar-SA"/>
        </w:rPr>
        <w:t>；实现利润总额</w:t>
      </w:r>
      <w:r>
        <w:rPr>
          <w:rFonts w:hAnsi="Calibri"/>
          <w:color w:val="000000"/>
          <w:spacing w:val="14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21</w:t>
      </w:r>
      <w:r>
        <w:rPr>
          <w:rFonts w:ascii="SimSun" w:hAnsi="SimSun" w:cs="SimSun"/>
          <w:color w:val="000000"/>
          <w:spacing w:val="-91"/>
          <w:szCs w:val="22"/>
          <w:lang w:val="en-US" w:eastAsia="en-US" w:bidi="ar-SA"/>
        </w:rPr>
        <w:t>，</w:t>
      </w:r>
      <w:r>
        <w:rPr>
          <w:rFonts w:ascii="SimSun" w:hAnsi="Calibri"/>
          <w:color w:val="000000"/>
          <w:szCs w:val="22"/>
          <w:lang w:val="en-US" w:eastAsia="en-US" w:bidi="ar-SA"/>
        </w:rPr>
        <w:t>465.14</w:t>
      </w:r>
    </w:p>
    <w:p>
      <w:pPr>
        <w:framePr w:w="8760" w:x="1752" w:y="6528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万元，较去年同期下降</w:t>
      </w:r>
      <w:r>
        <w:rPr>
          <w:rFonts w:hAnsi="Calibr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10.24%</w:t>
      </w:r>
      <w:r>
        <w:rPr>
          <w:rFonts w:ascii="SimSun" w:hAnsi="SimSun" w:cs="SimSun"/>
          <w:color w:val="000000"/>
          <w:spacing w:val="-2"/>
          <w:szCs w:val="22"/>
          <w:lang w:val="en-US" w:eastAsia="en-US" w:bidi="ar-SA"/>
        </w:rPr>
        <w:t>；实现归属于上市公司股东的净利润</w:t>
      </w:r>
      <w:r>
        <w:rPr>
          <w:rFonts w:hAnsi="Calibri"/>
          <w:color w:val="000000"/>
          <w:spacing w:val="3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17,603.43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万</w:t>
      </w:r>
    </w:p>
    <w:p>
      <w:pPr>
        <w:framePr w:w="8760" w:x="1752" w:y="6528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元，较去年同期下降</w:t>
      </w:r>
      <w:r>
        <w:rPr>
          <w:rFonts w:hAnsi="Calibri"/>
          <w:color w:val="000000"/>
          <w:spacing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13.97%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。报告期末，公司总资产</w:t>
      </w:r>
      <w:r>
        <w:rPr>
          <w:rFonts w:hAnsi="Calibri"/>
          <w:color w:val="000000"/>
          <w:spacing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233,500.22</w:t>
      </w:r>
      <w:r>
        <w:rPr>
          <w:rFonts w:ascii="SimSun" w:hAnsi="Calibri"/>
          <w:color w:val="000000"/>
          <w:spacing w:val="-3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万元，归属上</w:t>
      </w:r>
    </w:p>
    <w:p>
      <w:pPr>
        <w:framePr w:w="8760" w:x="1752" w:y="6528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市公司净资产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170,378.20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万元</w:t>
      </w:r>
      <w:r>
        <w:rPr>
          <w:rFonts w:ascii="SimSun" w:hAnsi="Calibri"/>
          <w:color w:val="000000"/>
          <w:szCs w:val="22"/>
          <w:lang w:val="en-US" w:eastAsia="en-US" w:bidi="ar-SA"/>
        </w:rPr>
        <w:t>,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资产负债率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27.03%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。</w:t>
      </w:r>
    </w:p>
    <w:p>
      <w:pPr>
        <w:framePr w:w="3360" w:x="2232" w:y="902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二、董事会日常工作运行情况</w:t>
      </w:r>
    </w:p>
    <w:p>
      <w:pPr>
        <w:framePr w:w="3360" w:x="2232" w:y="9024"/>
        <w:widowControl w:val="0"/>
        <w:autoSpaceDE w:val="0"/>
        <w:autoSpaceDN w:val="0"/>
        <w:spacing w:before="384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（一）董事会会议情况</w:t>
      </w:r>
    </w:p>
    <w:p>
      <w:pPr>
        <w:framePr w:w="4561" w:x="2232" w:y="1027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报告期内，公司共召开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60"/>
          <w:szCs w:val="22"/>
          <w:lang w:val="en-US" w:eastAsia="en-US" w:bidi="ar-SA"/>
        </w:rPr>
        <w:t>5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次董事会会议。</w:t>
      </w:r>
    </w:p>
    <w:p>
      <w:pPr>
        <w:framePr w:w="8880" w:x="1752" w:y="10896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</w:t>
      </w:r>
      <w:r>
        <w:rPr>
          <w:rFonts w:ascii="SimSun" w:hAnsi="Calibri"/>
          <w:color w:val="000000"/>
          <w:szCs w:val="22"/>
          <w:lang w:val="en-US" w:eastAsia="en-US" w:bidi="ar-SA"/>
        </w:rPr>
        <w:t>1</w:t>
      </w:r>
      <w:r>
        <w:rPr>
          <w:rFonts w:ascii="SimSun" w:hAnsi="SimSun" w:cs="SimSun"/>
          <w:color w:val="000000"/>
          <w:spacing w:val="-19"/>
          <w:szCs w:val="22"/>
          <w:lang w:val="en-US" w:eastAsia="en-US" w:bidi="ar-SA"/>
        </w:rPr>
        <w:t>）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61"/>
          <w:szCs w:val="22"/>
          <w:lang w:val="en-US" w:eastAsia="en-US" w:bidi="ar-SA"/>
        </w:rPr>
        <w:t>4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27</w:t>
      </w:r>
      <w:r>
        <w:rPr>
          <w:rFonts w:ascii="SimSun" w:hAnsi="SimSun" w:cs="SimSun"/>
          <w:color w:val="000000"/>
          <w:spacing w:val="-2"/>
          <w:szCs w:val="22"/>
          <w:lang w:val="en-US" w:eastAsia="en-US" w:bidi="ar-SA"/>
        </w:rPr>
        <w:t>日召开第三届董事会第十五次会议，审议通过了《公司</w:t>
      </w:r>
    </w:p>
    <w:p>
      <w:pPr>
        <w:framePr w:w="8880" w:x="1752" w:y="10896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pacing w:val="-12"/>
          <w:szCs w:val="22"/>
          <w:lang w:val="en-US" w:eastAsia="en-US" w:bidi="ar-SA"/>
        </w:rPr>
        <w:t>年度总经理工作报告》《公司</w:t>
      </w:r>
      <w:r>
        <w:rPr>
          <w:rFonts w:hAnsi="Calibri"/>
          <w:color w:val="000000"/>
          <w:spacing w:val="1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pacing w:val="-11"/>
          <w:szCs w:val="22"/>
          <w:lang w:val="en-US" w:eastAsia="en-US" w:bidi="ar-SA"/>
        </w:rPr>
        <w:t>年度董事会工作报告》《关于</w:t>
      </w:r>
      <w:r>
        <w:rPr>
          <w:rFonts w:hAnsi="Calibri"/>
          <w:color w:val="000000"/>
          <w:spacing w:val="13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年年度</w:t>
      </w:r>
    </w:p>
    <w:p>
      <w:pPr>
        <w:framePr w:w="8880" w:x="1752" w:y="10896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9"/>
          <w:szCs w:val="22"/>
          <w:lang w:val="en-US" w:eastAsia="en-US" w:bidi="ar-SA"/>
        </w:rPr>
        <w:t>报告及其摘要的议案》《公司</w:t>
      </w:r>
      <w:r>
        <w:rPr>
          <w:rFonts w:hAnsi="Calibri"/>
          <w:color w:val="000000"/>
          <w:spacing w:val="1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pacing w:val="-11"/>
          <w:szCs w:val="22"/>
          <w:lang w:val="en-US" w:eastAsia="en-US" w:bidi="ar-SA"/>
        </w:rPr>
        <w:t>年第一季度报告》《公司</w:t>
      </w:r>
      <w:r>
        <w:rPr>
          <w:rFonts w:hAnsi="Calibri"/>
          <w:color w:val="000000"/>
          <w:spacing w:val="1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年度财务决算及</w:t>
      </w:r>
    </w:p>
    <w:p>
      <w:pPr>
        <w:framePr w:w="8880" w:x="1752" w:y="10896"/>
        <w:widowControl w:val="0"/>
        <w:autoSpaceDE w:val="0"/>
        <w:autoSpaceDN w:val="0"/>
        <w:spacing w:before="229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pacing w:val="-13"/>
          <w:szCs w:val="22"/>
          <w:lang w:val="en-US" w:eastAsia="en-US" w:bidi="ar-SA"/>
        </w:rPr>
        <w:t>年度财务预算报告》《公司</w:t>
      </w:r>
      <w:r>
        <w:rPr>
          <w:rFonts w:hAnsi="Calibri"/>
          <w:color w:val="000000"/>
          <w:spacing w:val="13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pacing w:val="-10"/>
          <w:szCs w:val="22"/>
          <w:lang w:val="en-US" w:eastAsia="en-US" w:bidi="ar-SA"/>
        </w:rPr>
        <w:t>年度独立董事述职报告》《公司</w:t>
      </w:r>
      <w:r>
        <w:rPr>
          <w:rFonts w:hAnsi="Calibri"/>
          <w:color w:val="000000"/>
          <w:spacing w:val="1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年度董</w:t>
      </w:r>
    </w:p>
    <w:p>
      <w:pPr>
        <w:framePr w:w="8880" w:x="1752" w:y="10896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7"/>
          <w:szCs w:val="22"/>
          <w:lang w:val="en-US" w:eastAsia="en-US" w:bidi="ar-SA"/>
        </w:rPr>
        <w:t>事会审计委员会履职情况报告》《关于</w:t>
      </w:r>
      <w:r>
        <w:rPr>
          <w:rFonts w:hAnsi="Calibri"/>
          <w:color w:val="000000"/>
          <w:spacing w:val="7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年度利润分配及资本公积金转增股本</w:t>
      </w:r>
    </w:p>
    <w:p>
      <w:pPr>
        <w:framePr w:w="8880" w:x="1752" w:y="10896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0"/>
          <w:szCs w:val="22"/>
          <w:lang w:val="en-US" w:eastAsia="en-US" w:bidi="ar-SA"/>
        </w:rPr>
        <w:t>预案的议案》《公司</w:t>
      </w:r>
      <w:r>
        <w:rPr>
          <w:rFonts w:hAnsi="Calibri"/>
          <w:color w:val="000000"/>
          <w:spacing w:val="2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pacing w:val="-7"/>
          <w:szCs w:val="22"/>
          <w:lang w:val="en-US" w:eastAsia="en-US" w:bidi="ar-SA"/>
        </w:rPr>
        <w:t>年度募集资金存放与实际使用情况的专项报告》《关于支</w:t>
      </w:r>
    </w:p>
    <w:p>
      <w:pPr>
        <w:framePr w:w="8880" w:x="1752" w:y="10896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付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pacing w:val="-9"/>
          <w:szCs w:val="22"/>
          <w:lang w:val="en-US" w:eastAsia="en-US" w:bidi="ar-SA"/>
        </w:rPr>
        <w:t>年度审计费用的议案》《公司</w:t>
      </w:r>
      <w:r>
        <w:rPr>
          <w:rFonts w:hAnsi="Calibri"/>
          <w:color w:val="000000"/>
          <w:spacing w:val="1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pacing w:val="-7"/>
          <w:szCs w:val="22"/>
          <w:lang w:val="en-US" w:eastAsia="en-US" w:bidi="ar-SA"/>
        </w:rPr>
        <w:t>年度内部控制评价报告》《关于公司董</w:t>
      </w:r>
    </w:p>
    <w:p>
      <w:pPr>
        <w:framePr w:w="8880" w:x="1752" w:y="10896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5"/>
          <w:szCs w:val="22"/>
          <w:lang w:val="en-US" w:eastAsia="en-US" w:bidi="ar-SA"/>
        </w:rPr>
        <w:t>事、监事</w:t>
      </w:r>
      <w:r>
        <w:rPr>
          <w:rFonts w:hAnsi="Calibri"/>
          <w:color w:val="000000"/>
          <w:spacing w:val="15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年度薪酬情况及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pacing w:val="-9"/>
          <w:szCs w:val="22"/>
          <w:lang w:val="en-US" w:eastAsia="en-US" w:bidi="ar-SA"/>
        </w:rPr>
        <w:t>年度薪酬方案的议案》《关于公司高级管理人</w:t>
      </w:r>
    </w:p>
    <w:p>
      <w:pPr>
        <w:framePr w:w="8880" w:x="1752" w:y="10896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员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年度薪酬情况及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pacing w:val="-8"/>
          <w:szCs w:val="22"/>
          <w:lang w:val="en-US" w:eastAsia="en-US" w:bidi="ar-SA"/>
        </w:rPr>
        <w:t>年度薪酬方案的议案》《关于续聘</w:t>
      </w:r>
      <w:r>
        <w:rPr>
          <w:rFonts w:hAnsi="Calibri"/>
          <w:color w:val="000000"/>
          <w:spacing w:val="8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年度审计机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120" w:x="1752" w:y="153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构的议案》《关于公司及子公司使用自有资金进行现金管理的议案》《关于公司及</w:t>
      </w:r>
    </w:p>
    <w:p>
      <w:pPr>
        <w:framePr w:w="9120" w:x="1752" w:y="153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子公司向银行申请授信额度及担保的议案《》关于公司及子公司开展外汇套期保值</w:t>
      </w:r>
    </w:p>
    <w:p>
      <w:pPr>
        <w:framePr w:w="9120" w:x="1752" w:y="153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3"/>
          <w:szCs w:val="22"/>
          <w:lang w:val="en-US" w:eastAsia="en-US" w:bidi="ar-SA"/>
        </w:rPr>
        <w:t>业务的议案》《关于会计政策变更的议案》《关于调整公司组织架构的议案》《关于</w:t>
      </w:r>
    </w:p>
    <w:p>
      <w:pPr>
        <w:framePr w:w="9120" w:x="1752" w:y="153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4"/>
          <w:szCs w:val="22"/>
          <w:lang w:val="en-US" w:eastAsia="en-US" w:bidi="ar-SA"/>
        </w:rPr>
        <w:t>高级管理人员变动的议案《》关于修订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&lt;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公司内幕信息知情人登记管理制度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&gt;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的议案》</w:t>
      </w:r>
    </w:p>
    <w:p>
      <w:pPr>
        <w:framePr w:w="9120" w:x="1752" w:y="153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Cs w:val="22"/>
          <w:lang w:val="en-US" w:eastAsia="en-US" w:bidi="ar-SA"/>
        </w:rPr>
        <w:t>《关于修订公司章程的议案》《公司未来三年（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-2022</w:t>
      </w:r>
      <w:r>
        <w:rPr>
          <w:rFonts w:ascii="SimSun" w:hAnsi="SimSun" w:eastAsiaTheme="minorEastAsia" w:cs="SimSun"/>
          <w:color w:val="000000"/>
          <w:spacing w:val="-5"/>
          <w:szCs w:val="22"/>
          <w:lang w:val="en-US" w:eastAsia="en-US" w:bidi="ar-SA"/>
        </w:rPr>
        <w:t>年）股东回报规划的</w:t>
      </w:r>
    </w:p>
    <w:p>
      <w:pPr>
        <w:framePr w:w="9120" w:x="1752" w:y="153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2"/>
          <w:szCs w:val="22"/>
          <w:lang w:val="en-US" w:eastAsia="en-US" w:bidi="ar-SA"/>
        </w:rPr>
        <w:t>议案》《关于提请召开</w:t>
      </w:r>
      <w:r>
        <w:rPr>
          <w:rFonts w:eastAsiaTheme="minorEastAsia" w:hAnsiTheme="minorHAnsi" w:cstheme="minorBidi"/>
          <w:color w:val="000000"/>
          <w:spacing w:val="13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2019</w:t>
      </w:r>
      <w:r>
        <w:rPr>
          <w:rFonts w:ascii="SimSun" w:hAnsi="SimSun" w:eastAsiaTheme="minorEastAsia" w:cs="SimSun"/>
          <w:color w:val="000000"/>
          <w:spacing w:val="-10"/>
          <w:szCs w:val="22"/>
          <w:lang w:val="en-US" w:eastAsia="en-US" w:bidi="ar-SA"/>
        </w:rPr>
        <w:t>年年度股东大会的议案》。</w:t>
      </w:r>
    </w:p>
    <w:p>
      <w:pPr>
        <w:framePr w:w="8760" w:x="1752" w:y="4499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</w:t>
      </w:r>
      <w:r>
        <w:rPr>
          <w:rFonts w:ascii="SimSun" w:hAnsi="SimSun" w:eastAsiaTheme="minorEastAsia" w:cs="SimSun"/>
          <w:color w:val="000000"/>
          <w:spacing w:val="-19"/>
          <w:szCs w:val="22"/>
          <w:lang w:val="en-US" w:eastAsia="en-US" w:bidi="ar-SA"/>
        </w:rPr>
        <w:t>）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61"/>
          <w:szCs w:val="22"/>
          <w:lang w:val="en-US" w:eastAsia="en-US" w:bidi="ar-SA"/>
        </w:rPr>
        <w:t>7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24</w:t>
      </w: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日召开第三届董事会第十六次会议，审议通过了《关于</w:t>
      </w:r>
    </w:p>
    <w:p>
      <w:pPr>
        <w:framePr w:w="8760" w:x="1752" w:y="4499"/>
        <w:widowControl w:val="0"/>
        <w:autoSpaceDE w:val="0"/>
        <w:autoSpaceDN w:val="0"/>
        <w:spacing w:before="228" w:line="240" w:lineRule="exact"/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公司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&lt;2020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年限制性股票激励计划（草案）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&gt;</w:t>
      </w:r>
      <w:r>
        <w:rPr>
          <w:rFonts w:ascii="SimSun" w:hAnsi="SimSun" w:eastAsiaTheme="minorEastAsia" w:cs="SimSun"/>
          <w:color w:val="000000"/>
          <w:spacing w:val="-9"/>
          <w:szCs w:val="22"/>
          <w:lang w:val="en-US" w:eastAsia="en-US" w:bidi="ar-SA"/>
        </w:rPr>
        <w:t>及其摘要的议案》《关于公司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&lt;2020</w:t>
      </w:r>
    </w:p>
    <w:p>
      <w:pPr>
        <w:framePr w:w="8760" w:x="1752" w:y="4499"/>
        <w:widowControl w:val="0"/>
        <w:autoSpaceDE w:val="0"/>
        <w:autoSpaceDN w:val="0"/>
        <w:spacing w:before="229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年限制性股票激励计划实施考核管理办法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&gt;</w:t>
      </w: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的议案》《关于提请股东大会授权董事</w:t>
      </w:r>
    </w:p>
    <w:p>
      <w:pPr>
        <w:framePr w:w="8760" w:x="1752" w:y="4499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会办理股权激励相关事宜的议案》《关于补选公司董事的议案》《关于提请召开</w:t>
      </w:r>
    </w:p>
    <w:p>
      <w:pPr>
        <w:framePr w:w="8760" w:x="1752" w:y="4499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  <w:r>
        <w:rPr>
          <w:rFonts w:ascii="SimSun" w:hAnsi="SimSun" w:eastAsiaTheme="minorEastAsia" w:cs="SimSun"/>
          <w:color w:val="000000"/>
          <w:spacing w:val="-8"/>
          <w:szCs w:val="22"/>
          <w:lang w:val="en-US" w:eastAsia="en-US" w:bidi="ar-SA"/>
        </w:rPr>
        <w:t>年第一次临时股东大会的议案》。</w:t>
      </w:r>
    </w:p>
    <w:p>
      <w:pPr>
        <w:framePr w:w="8643" w:x="1752" w:y="6996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3</w:t>
      </w:r>
      <w:r>
        <w:rPr>
          <w:rFonts w:ascii="SimSun" w:hAnsi="SimSun" w:eastAsiaTheme="minorEastAsia" w:cs="SimSun"/>
          <w:color w:val="000000"/>
          <w:spacing w:val="-19"/>
          <w:szCs w:val="22"/>
          <w:lang w:val="en-US" w:eastAsia="en-US" w:bidi="ar-SA"/>
        </w:rPr>
        <w:t>）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61"/>
          <w:szCs w:val="22"/>
          <w:lang w:val="en-US" w:eastAsia="en-US" w:bidi="ar-SA"/>
        </w:rPr>
        <w:t>8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25</w:t>
      </w: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日召开第三届董事会第十七次会议，审议通过了《公司</w:t>
      </w:r>
    </w:p>
    <w:p>
      <w:pPr>
        <w:framePr w:w="8643" w:x="1752" w:y="6996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  <w:r>
        <w:rPr>
          <w:rFonts w:ascii="SimSun" w:hAnsi="SimSun" w:eastAsiaTheme="minorEastAsia" w:cs="SimSun"/>
          <w:color w:val="000000"/>
          <w:spacing w:val="-4"/>
          <w:szCs w:val="22"/>
          <w:lang w:val="en-US" w:eastAsia="en-US" w:bidi="ar-SA"/>
        </w:rPr>
        <w:t>年半年度报告及其摘要》《关于调整公司第三届董事会专门委员会委员的议</w:t>
      </w:r>
    </w:p>
    <w:p>
      <w:pPr>
        <w:framePr w:w="8643" w:x="1752" w:y="6996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0"/>
          <w:szCs w:val="22"/>
          <w:lang w:val="en-US" w:eastAsia="en-US" w:bidi="ar-SA"/>
        </w:rPr>
        <w:t>案》。</w:t>
      </w:r>
    </w:p>
    <w:p>
      <w:pPr>
        <w:framePr w:w="8101" w:x="2232" w:y="8556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）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61"/>
          <w:szCs w:val="22"/>
          <w:lang w:val="en-US" w:eastAsia="en-US" w:bidi="ar-SA"/>
        </w:rPr>
        <w:t>9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60"/>
          <w:szCs w:val="22"/>
          <w:lang w:val="en-US" w:eastAsia="en-US" w:bidi="ar-SA"/>
        </w:rPr>
        <w:t>1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日召开第三届董事会第十八次会议，审议通过了《关于</w:t>
      </w:r>
    </w:p>
    <w:p>
      <w:pPr>
        <w:framePr w:w="8640" w:x="1752" w:y="902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向激励对象授予限制性股票的议案》《关于向银行申请综合授信额度的议案》。</w:t>
      </w:r>
    </w:p>
    <w:p>
      <w:pPr>
        <w:framePr w:w="8880" w:x="1752" w:y="9648"/>
        <w:widowControl w:val="0"/>
        <w:autoSpaceDE w:val="0"/>
        <w:autoSpaceDN w:val="0"/>
        <w:spacing w:line="240" w:lineRule="exact"/>
        <w:ind w:left="480"/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5</w:t>
      </w:r>
      <w:r>
        <w:rPr>
          <w:rFonts w:ascii="SimSun" w:hAnsi="SimSun" w:eastAsiaTheme="minorEastAsia" w:cs="SimSun"/>
          <w:color w:val="000000"/>
          <w:spacing w:val="-120"/>
          <w:szCs w:val="22"/>
          <w:lang w:val="en-US" w:eastAsia="en-US" w:bidi="ar-SA"/>
        </w:rPr>
        <w:t>）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10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</w:t>
      </w:r>
      <w:r>
        <w:rPr>
          <w:rFonts w:ascii="SimSun" w:hAnsi="SimSun" w:eastAsiaTheme="minorEastAsia" w:cs="SimSun"/>
          <w:color w:val="000000"/>
          <w:spacing w:val="-10"/>
          <w:szCs w:val="22"/>
          <w:lang w:val="en-US" w:eastAsia="en-US" w:bidi="ar-SA"/>
        </w:rPr>
        <w:t>日召开第三届董事会第十九次会议，审议通过了《公司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</w:p>
    <w:p>
      <w:pPr>
        <w:framePr w:w="8880" w:x="1752" w:y="964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年第三季度报告》《关于公司及子公司向银行申请授信额度及担保的议案》《关于</w:t>
      </w:r>
    </w:p>
    <w:p>
      <w:pPr>
        <w:framePr w:w="8880" w:x="1752" w:y="964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1"/>
          <w:szCs w:val="22"/>
          <w:lang w:val="en-US" w:eastAsia="en-US" w:bidi="ar-SA"/>
        </w:rPr>
        <w:t>修订公司章程的议案》。</w:t>
      </w:r>
    </w:p>
    <w:p>
      <w:pPr>
        <w:framePr w:w="3840" w:x="2232" w:y="11208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（二）董事会专门委员会履职情况</w:t>
      </w:r>
    </w:p>
    <w:p>
      <w:pPr>
        <w:framePr w:w="8640" w:x="1752" w:y="11753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公司董事会专门委员会自设立以来，严格遵照《公司章程》和董事会各专门</w:t>
      </w:r>
    </w:p>
    <w:p>
      <w:pPr>
        <w:framePr w:w="8640" w:x="1752" w:y="1175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委员会工作细则的有关规定开展工作，对涉及职权范围内的重大决策、薪酬制定</w:t>
      </w:r>
    </w:p>
    <w:p>
      <w:pPr>
        <w:framePr w:w="8640" w:x="1752" w:y="11753"/>
        <w:widowControl w:val="0"/>
        <w:autoSpaceDE w:val="0"/>
        <w:autoSpaceDN w:val="0"/>
        <w:spacing w:before="229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与考核、财务审计、人员提名等事项进行审议，较好地履行了职责。</w:t>
      </w:r>
    </w:p>
    <w:p>
      <w:pPr>
        <w:framePr w:w="8400" w:x="2232" w:y="13237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公司董事会下设战略委员会、薪酬与考核委员会、审计委员会、提名委员会。</w:t>
      </w:r>
    </w:p>
    <w:p>
      <w:pPr>
        <w:framePr w:w="8400" w:x="2232" w:y="13237"/>
        <w:widowControl w:val="0"/>
        <w:autoSpaceDE w:val="0"/>
        <w:autoSpaceDN w:val="0"/>
        <w:spacing w:before="283" w:line="293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>1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、董事会战略委员会履职情况。</w:t>
      </w:r>
    </w:p>
    <w:p>
      <w:pPr>
        <w:framePr w:w="4560" w:x="2232" w:y="14329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报告期内，公司未召开战略委员会会议。</w:t>
      </w:r>
    </w:p>
    <w:p>
      <w:pPr>
        <w:framePr w:w="4442" w:x="2232" w:y="14851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>2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、董事会薪酬与考核委员会履职情况。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643" w:x="1752" w:y="1535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报告期内，董事会薪酬与考核委员会根据《董事会薪酬与考核委员会工作细</w:t>
      </w:r>
    </w:p>
    <w:p>
      <w:pPr>
        <w:framePr w:w="8643" w:x="1752" w:y="1535"/>
        <w:widowControl w:val="0"/>
        <w:autoSpaceDE w:val="0"/>
        <w:autoSpaceDN w:val="0"/>
        <w:spacing w:before="206" w:line="293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则》规定，勤勉尽责，共召开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Cs w:val="22"/>
          <w:lang w:val="en-US" w:eastAsia="en-US" w:bidi="ar-SA"/>
        </w:rPr>
        <w:t>2</w:t>
      </w:r>
      <w:r>
        <w:rPr>
          <w:rFonts w:ascii="Calibri" w:eastAsiaTheme="minorEastAsia" w:hAnsiTheme="minorHAnsi" w:cstheme="minorBidi"/>
          <w:color w:val="000000"/>
          <w:spacing w:val="7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次会议，对公司董事、高级管理人员薪酬及考核</w:t>
      </w:r>
    </w:p>
    <w:p>
      <w:pPr>
        <w:framePr w:w="8643" w:x="1752" w:y="1535"/>
        <w:widowControl w:val="0"/>
        <w:autoSpaceDE w:val="0"/>
        <w:autoSpaceDN w:val="0"/>
        <w:spacing w:before="197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情况等事宜进行了审议。</w:t>
      </w:r>
    </w:p>
    <w:p>
      <w:pPr>
        <w:framePr w:w="3722" w:x="2232" w:y="2993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>3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、董事会审计委员会履职情况。</w:t>
      </w:r>
    </w:p>
    <w:p>
      <w:pPr>
        <w:framePr w:w="8880" w:x="1752" w:y="3563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报告期内，董事会审计委员会根据《董事会审计委员会工作细则》的有关规</w:t>
      </w:r>
    </w:p>
    <w:p>
      <w:pPr>
        <w:framePr w:w="8880" w:x="1752" w:y="3563"/>
        <w:widowControl w:val="0"/>
        <w:autoSpaceDE w:val="0"/>
        <w:autoSpaceDN w:val="0"/>
        <w:spacing w:before="206" w:line="293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定开展工作，共召开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Cs w:val="22"/>
          <w:lang w:val="en-US" w:eastAsia="en-US" w:bidi="ar-SA"/>
        </w:rPr>
        <w:t>4</w:t>
      </w:r>
      <w:r>
        <w:rPr>
          <w:rFonts w:ascii="Calibri" w:eastAsiaTheme="minorEastAsia" w:hAnsiTheme="minorHAnsi" w:cstheme="minorBidi"/>
          <w:color w:val="000000"/>
          <w:spacing w:val="7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次会议，对公司财务审计报告、定期报告、内控报告、内</w:t>
      </w:r>
    </w:p>
    <w:p>
      <w:pPr>
        <w:framePr w:w="8880" w:x="1752" w:y="3563"/>
        <w:widowControl w:val="0"/>
        <w:autoSpaceDE w:val="0"/>
        <w:autoSpaceDN w:val="0"/>
        <w:spacing w:before="197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部审计计划等事项进行审查与监督，重点对公司各定期报告编制工作进行监督审</w:t>
      </w:r>
    </w:p>
    <w:p>
      <w:pPr>
        <w:framePr w:w="8880" w:x="1752" w:y="356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核，安排时间与会计师进行沟通，充分掌握审计进度，监督审计工作的重要事项。</w:t>
      </w:r>
    </w:p>
    <w:p>
      <w:pPr>
        <w:framePr w:w="3482" w:x="2232" w:y="5490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、董事会提名委员会履职情况</w:t>
      </w:r>
    </w:p>
    <w:p>
      <w:pPr>
        <w:framePr w:w="8642" w:x="1752" w:y="6037"/>
        <w:widowControl w:val="0"/>
        <w:autoSpaceDE w:val="0"/>
        <w:autoSpaceDN w:val="0"/>
        <w:spacing w:line="293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9"/>
          <w:szCs w:val="22"/>
          <w:lang w:val="en-US" w:eastAsia="en-US" w:bidi="ar-SA"/>
        </w:rPr>
        <w:t>报告期内，公司召开</w:t>
      </w:r>
      <w:r>
        <w:rPr>
          <w:rFonts w:eastAsiaTheme="minorEastAsia" w:hAnsiTheme="minorHAnsi" w:cstheme="minorBidi"/>
          <w:color w:val="000000"/>
          <w:spacing w:val="10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Cs w:val="22"/>
          <w:lang w:val="en-US" w:eastAsia="en-US" w:bidi="ar-SA"/>
        </w:rPr>
        <w:t>2</w:t>
      </w:r>
      <w:r>
        <w:rPr>
          <w:rFonts w:ascii="Calibri" w:eastAsiaTheme="minorEastAsia" w:hAnsiTheme="minorHAnsi" w:cstheme="minorBidi"/>
          <w:color w:val="000000"/>
          <w:spacing w:val="7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次提名委员会会议，对候选人的任职资格、教育背景、</w:t>
      </w:r>
    </w:p>
    <w:p>
      <w:pPr>
        <w:framePr w:w="8642" w:x="1752" w:y="6037"/>
        <w:widowControl w:val="0"/>
        <w:autoSpaceDE w:val="0"/>
        <w:autoSpaceDN w:val="0"/>
        <w:spacing w:before="197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工作业绩进行认真审核，发表同意提名相关候选人的审核意见，并提交董事会审</w:t>
      </w:r>
    </w:p>
    <w:p>
      <w:pPr>
        <w:framePr w:w="8642" w:x="1752" w:y="603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议。</w:t>
      </w:r>
    </w:p>
    <w:p>
      <w:pPr>
        <w:framePr w:w="4320" w:x="2232" w:y="754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（三）董事会对股东大会决议执行情况</w:t>
      </w:r>
    </w:p>
    <w:p>
      <w:pPr>
        <w:framePr w:w="8880" w:x="1752" w:y="8088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报告期内公司共召开</w:t>
      </w:r>
      <w:r>
        <w:rPr>
          <w:rFonts w:eastAsiaTheme="minorEastAsia" w:hAnsiTheme="minorHAnsi" w:cstheme="minorBidi"/>
          <w:color w:val="000000"/>
          <w:spacing w:val="2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</w:t>
      </w:r>
      <w:r>
        <w:rPr>
          <w:rFonts w:ascii="SimSun" w:eastAsiaTheme="minorEastAsia" w:hAnsiTheme="minorHAnsi" w:cstheme="minorBidi"/>
          <w:color w:val="000000"/>
          <w:spacing w:val="-3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次年度股东大会、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</w:t>
      </w:r>
      <w:r>
        <w:rPr>
          <w:rFonts w:ascii="SimSun" w:eastAsiaTheme="minorEastAsia" w:hAnsiTheme="minorHAnsi" w:cstheme="minorBidi"/>
          <w:color w:val="000000"/>
          <w:spacing w:val="-4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次临时股东大会，公司董事会根</w:t>
      </w:r>
    </w:p>
    <w:p>
      <w:pPr>
        <w:framePr w:w="8880" w:x="1752" w:y="808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据《公司法》《证券法》等相关法律法规和《公司章程》的规定，及时执行股东大</w:t>
      </w:r>
    </w:p>
    <w:p>
      <w:pPr>
        <w:framePr w:w="8880" w:x="1752" w:y="808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会审议通过的各项决议。</w:t>
      </w:r>
    </w:p>
    <w:p>
      <w:pPr>
        <w:framePr w:w="2880" w:x="2232" w:y="9569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（四）独立董事履职情况</w:t>
      </w:r>
    </w:p>
    <w:p>
      <w:pPr>
        <w:framePr w:w="8880" w:x="1752" w:y="10116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报告期内，公司独立董事严格按照《公司法》《证券法》等相关法律法规的规</w:t>
      </w:r>
    </w:p>
    <w:p>
      <w:pPr>
        <w:framePr w:w="8880" w:x="1752" w:y="10116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定及《公司章程》《独立董事工作制度》的要求，审慎认真地行使公司和股东所赋</w:t>
      </w:r>
    </w:p>
    <w:p>
      <w:pPr>
        <w:framePr w:w="8880" w:x="1752" w:y="10116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予的权利，对公司董事会审议的重大事项发表了公正、客观的独立意见，充分发</w:t>
      </w:r>
    </w:p>
    <w:p>
      <w:pPr>
        <w:framePr w:w="8880" w:x="1752" w:y="10116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挥了独立董事作用，为董事会的科学决策提供了有效保障，切实保障了公司及公</w:t>
      </w:r>
    </w:p>
    <w:p>
      <w:pPr>
        <w:framePr w:w="8880" w:x="1752" w:y="10116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司股东的利益。</w:t>
      </w:r>
    </w:p>
    <w:p>
      <w:pPr>
        <w:framePr w:w="3667" w:x="2232" w:y="12511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三、</w:t>
      </w:r>
      <w:r>
        <w:rPr>
          <w:rFonts w:ascii="Calibri"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>2021</w:t>
      </w:r>
      <w:r>
        <w:rPr>
          <w:rFonts w:ascii="Calibri" w:eastAsiaTheme="minorEastAsia" w:hAnsiTheme="minorHAnsi" w:cstheme="minorBid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年董事会主要工作任务</w:t>
      </w:r>
    </w:p>
    <w:p>
      <w:pPr>
        <w:framePr w:w="8642" w:x="1752" w:y="13160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2021</w:t>
      </w: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年，公司董事会将继续秉承对公司和全体股东负责的原则，认真履行股</w:t>
      </w:r>
    </w:p>
    <w:p>
      <w:pPr>
        <w:framePr w:w="8642" w:x="1752" w:y="13160"/>
        <w:widowControl w:val="0"/>
        <w:autoSpaceDE w:val="0"/>
        <w:autoSpaceDN w:val="0"/>
        <w:spacing w:before="226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东大会赋予董事会的职责，保持公司各项经营指标稳定，力争健康持续增长；同</w:t>
      </w:r>
    </w:p>
    <w:p>
      <w:pPr>
        <w:framePr w:w="8642" w:x="1752" w:y="13160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时将进一步加强自身建设，提升公司综合竞争力。</w:t>
      </w:r>
    </w:p>
    <w:p>
      <w:pPr>
        <w:framePr w:w="8280" w:x="2232" w:y="14717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</w:t>
      </w:r>
      <w:r>
        <w:rPr>
          <w:rFonts w:ascii="SimSun" w:hAnsi="SimSun" w:eastAsiaTheme="minorEastAsia" w:cs="SimSun"/>
          <w:color w:val="000000"/>
          <w:spacing w:val="-4"/>
          <w:szCs w:val="22"/>
          <w:lang w:val="en-US" w:eastAsia="en-US" w:bidi="ar-SA"/>
        </w:rPr>
        <w:t>、完善公司治理机制，将决策机制、监督机制及激励机制与董事会日常工作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880" w:x="1752" w:y="153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相融合，完善如何科学、合理地分配的格局，及时地审核、监察与督导经营层的</w:t>
      </w:r>
    </w:p>
    <w:p>
      <w:pPr>
        <w:framePr w:w="8880" w:x="1752" w:y="153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日常决策，同时最大限度地挖掘经营层的潜力和效能，最终实现股东与经营者“双</w:t>
      </w:r>
    </w:p>
    <w:p>
      <w:pPr>
        <w:framePr w:w="8880" w:x="1752" w:y="153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赢”的利益格局。</w:t>
      </w:r>
    </w:p>
    <w:p>
      <w:pPr>
        <w:framePr w:w="8641" w:x="1752" w:y="3095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</w:t>
      </w:r>
      <w:r>
        <w:rPr>
          <w:rFonts w:ascii="SimSun" w:hAnsi="SimSun" w:eastAsiaTheme="minorEastAsia" w:cs="SimSun"/>
          <w:color w:val="000000"/>
          <w:spacing w:val="-4"/>
          <w:szCs w:val="22"/>
          <w:lang w:val="en-US" w:eastAsia="en-US" w:bidi="ar-SA"/>
        </w:rPr>
        <w:t>、加强上市公司及其子公司的企业内部控制，信息标准体系化建设，将公司</w:t>
      </w:r>
    </w:p>
    <w:p>
      <w:pPr>
        <w:framePr w:w="8641" w:x="1752" w:y="309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内部控制规范纳入公司日常监管的范围，公司对各个中心内控制度的建立和运行</w:t>
      </w:r>
    </w:p>
    <w:p>
      <w:pPr>
        <w:framePr w:w="8641" w:x="1752" w:y="309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进行监督，实现信息共享，有效地避免因日常工作的信息不对称、信息滞后所带</w:t>
      </w:r>
    </w:p>
    <w:p>
      <w:pPr>
        <w:framePr w:w="8641" w:x="1752" w:y="309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来的不利影响。</w:t>
      </w:r>
    </w:p>
    <w:p>
      <w:pPr>
        <w:framePr w:w="8880" w:x="1752" w:y="5101"/>
        <w:widowControl w:val="0"/>
        <w:autoSpaceDE w:val="0"/>
        <w:autoSpaceDN w:val="0"/>
        <w:spacing w:line="293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6"/>
          <w:szCs w:val="22"/>
          <w:lang w:val="en-US" w:eastAsia="en-US" w:bidi="ar-SA"/>
        </w:rPr>
        <w:t>3</w:t>
      </w:r>
      <w:r>
        <w:rPr>
          <w:rFonts w:ascii="SimSun" w:hAnsi="SimSun" w:eastAsiaTheme="minorEastAsia" w:cs="SimSun"/>
          <w:color w:val="000000"/>
          <w:spacing w:val="4"/>
          <w:szCs w:val="22"/>
          <w:lang w:val="en-US" w:eastAsia="en-US" w:bidi="ar-SA"/>
        </w:rPr>
        <w:t>、继续提升董事、高级管理人员履职能力。积极组织、参加各类培训，一</w:t>
      </w:r>
    </w:p>
    <w:p>
      <w:pPr>
        <w:framePr w:w="8880" w:x="1752" w:y="5101"/>
        <w:widowControl w:val="0"/>
        <w:autoSpaceDE w:val="0"/>
        <w:autoSpaceDN w:val="0"/>
        <w:spacing w:before="197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方面提高自律意识和工作的规范性，另一方面提升业务能力，不断提高决策的科</w:t>
      </w:r>
    </w:p>
    <w:p>
      <w:pPr>
        <w:framePr w:w="8880" w:x="1752" w:y="510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学性、规范性；未来，随着公司产能和业务的持续增长，公司的人才团队配置也</w:t>
      </w:r>
    </w:p>
    <w:p>
      <w:pPr>
        <w:framePr w:w="8880" w:x="1752" w:y="510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必须快速成长以满足公司未来业务发展的需求，公司将继续加强人才引进和培养，</w:t>
      </w:r>
    </w:p>
    <w:p>
      <w:pPr>
        <w:framePr w:w="8880" w:x="1752" w:y="510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通过开展多维度、综合性的培训，培养技术及经营管理方面人才，提升公司可持</w:t>
      </w:r>
    </w:p>
    <w:p>
      <w:pPr>
        <w:framePr w:w="8880" w:x="1752" w:y="5101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续发展能力。</w:t>
      </w:r>
    </w:p>
    <w:p>
      <w:pPr>
        <w:framePr w:w="8880" w:x="1752" w:y="8065"/>
        <w:widowControl w:val="0"/>
        <w:autoSpaceDE w:val="0"/>
        <w:autoSpaceDN w:val="0"/>
        <w:spacing w:line="293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、信息披露是上市公司规范运作的重要组成部分，</w:t>
      </w:r>
      <w:r>
        <w:rPr>
          <w:rFonts w:ascii="Calibri" w:eastAsiaTheme="minorEastAsia" w:hAnsiTheme="minorHAnsi" w:cstheme="minorBidi"/>
          <w:color w:val="000000"/>
          <w:szCs w:val="22"/>
          <w:lang w:val="en-US" w:eastAsia="en-US" w:bidi="ar-SA"/>
        </w:rPr>
        <w:t>2021</w:t>
      </w:r>
      <w:r>
        <w:rPr>
          <w:rFonts w:eastAsiaTheme="minorEastAsia" w:hAnsiTheme="minorHAnsi" w:cstheme="minorBidi"/>
          <w:color w:val="000000"/>
          <w:spacing w:val="54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年，公司董事会将</w:t>
      </w:r>
    </w:p>
    <w:p>
      <w:pPr>
        <w:framePr w:w="8880" w:x="1752" w:y="8065"/>
        <w:widowControl w:val="0"/>
        <w:autoSpaceDE w:val="0"/>
        <w:autoSpaceDN w:val="0"/>
        <w:spacing w:before="197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继续按照监管要求，及时、准确地做好信息披露工作，不断提升公司信息披露质</w:t>
      </w:r>
    </w:p>
    <w:p>
      <w:pPr>
        <w:framePr w:w="8880" w:x="1752" w:y="806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量，并建立起更为完善的投资者关系管理机制，通过多种渠道加强与投资者的联</w:t>
      </w:r>
    </w:p>
    <w:p>
      <w:pPr>
        <w:framePr w:w="8880" w:x="1752" w:y="806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系和沟通，以便于投资者快捷、全面获取公司信息，增进公司与投资者之间长期、</w:t>
      </w:r>
    </w:p>
    <w:p>
      <w:pPr>
        <w:framePr w:w="8880" w:x="1752" w:y="806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稳定的良好互动关系。</w:t>
      </w:r>
    </w:p>
    <w:p>
      <w:pPr>
        <w:framePr w:w="3840" w:x="6553" w:y="1058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山东先达农化股份有限公司董事会</w:t>
      </w:r>
    </w:p>
    <w:p>
      <w:pPr>
        <w:framePr w:w="2101" w:x="7653" w:y="11129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2021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60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26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