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3 -->
  <w:body>
    <w:p>
      <w:pPr>
        <w:spacing w:line="0" w:lineRule="atLeast"/>
        <w:rPr>
          <w:rFonts w:ascii="Arial" w:hAnsi="Calibri"/>
          <w:color w:val="FF0000"/>
          <w:sz w:val="2"/>
          <w:szCs w:val="22"/>
          <w:lang w:val="en-US" w:eastAsia="en-US" w:bidi="ar-SA"/>
        </w:rPr>
      </w:pPr>
      <w:bookmarkStart w:id="0" w:name="br1"/>
      <w:bookmarkEnd w:id="0"/>
      <w:r>
        <w:rPr>
          <w:rFonts w:ascii="Arial" w:hAnsi="Calibri"/>
          <w:color w:val="FF0000"/>
          <w:sz w:val="2"/>
          <w:szCs w:val="22"/>
          <w:lang w:val="en-US" w:eastAsia="en-US" w:bidi="ar-SA"/>
        </w:rPr>
        <w:t xml:space="preserve"> </w:t>
      </w:r>
    </w:p>
    <w:p>
      <w:pPr>
        <w:framePr w:w="1938" w:x="1800" w:y="1699"/>
        <w:widowControl w:val="0"/>
        <w:autoSpaceDE w:val="0"/>
        <w:autoSpaceDN w:val="0"/>
        <w:spacing w:line="258" w:lineRule="exact"/>
        <w:rPr>
          <w:rFonts w:ascii="Calibri" w:hAnsi="Calibri"/>
          <w:color w:val="000000"/>
          <w:sz w:val="21"/>
          <w:szCs w:val="22"/>
          <w:lang w:val="en-US" w:eastAsia="en-US" w:bidi="ar-SA"/>
        </w:rPr>
      </w:pPr>
      <w:r>
        <w:rPr>
          <w:rFonts w:ascii="SimSun" w:hAnsi="SimSun" w:cs="SimSun"/>
          <w:color w:val="000000"/>
          <w:spacing w:val="1"/>
          <w:sz w:val="21"/>
          <w:szCs w:val="22"/>
          <w:lang w:val="en-US" w:eastAsia="en-US" w:bidi="ar-SA"/>
        </w:rPr>
        <w:t>公司代码：</w:t>
      </w:r>
      <w:r>
        <w:rPr>
          <w:rFonts w:ascii="Calibri" w:hAnsi="Calibri"/>
          <w:color w:val="000000"/>
          <w:sz w:val="21"/>
          <w:szCs w:val="22"/>
          <w:lang w:val="en-US" w:eastAsia="en-US" w:bidi="ar-SA"/>
        </w:rPr>
        <w:t>603086</w:t>
      </w:r>
    </w:p>
    <w:p>
      <w:pPr>
        <w:framePr w:w="2141" w:x="8740" w:y="1718"/>
        <w:widowControl w:val="0"/>
        <w:autoSpaceDE w:val="0"/>
        <w:autoSpaceDN w:val="0"/>
        <w:spacing w:line="211" w:lineRule="exact"/>
        <w:rPr>
          <w:rFonts w:hAnsi="Calibri"/>
          <w:color w:val="000000"/>
          <w:sz w:val="21"/>
          <w:szCs w:val="22"/>
          <w:lang w:val="en-US" w:eastAsia="en-US" w:bidi="ar-SA"/>
        </w:rPr>
      </w:pPr>
      <w:r>
        <w:rPr>
          <w:rFonts w:ascii="SimSun" w:hAnsi="SimSun" w:cs="SimSun"/>
          <w:color w:val="000000"/>
          <w:spacing w:val="1"/>
          <w:sz w:val="21"/>
          <w:szCs w:val="22"/>
          <w:lang w:val="en-US" w:eastAsia="en-US" w:bidi="ar-SA"/>
        </w:rPr>
        <w:t>公司简称：先达股份</w:t>
      </w:r>
    </w:p>
    <w:p>
      <w:pPr>
        <w:framePr w:w="4093" w:x="4290" w:y="4781"/>
        <w:widowControl w:val="0"/>
        <w:autoSpaceDE w:val="0"/>
        <w:autoSpaceDN w:val="0"/>
        <w:spacing w:line="319" w:lineRule="exact"/>
        <w:rPr>
          <w:rFonts w:hAnsi="Calibri"/>
          <w:color w:val="000000"/>
          <w:sz w:val="32"/>
          <w:szCs w:val="22"/>
          <w:lang w:val="en-US" w:eastAsia="en-US" w:bidi="ar-SA"/>
        </w:rPr>
      </w:pPr>
      <w:r>
        <w:rPr>
          <w:rFonts w:ascii="SimHei" w:hAnsi="SimHei" w:cs="SimHei"/>
          <w:color w:val="000000"/>
          <w:spacing w:val="1"/>
          <w:sz w:val="32"/>
          <w:szCs w:val="22"/>
          <w:lang w:val="en-US" w:eastAsia="en-US" w:bidi="ar-SA"/>
        </w:rPr>
        <w:t>山东先达农化股份有限公司</w:t>
      </w:r>
    </w:p>
    <w:p>
      <w:pPr>
        <w:framePr w:w="3214" w:x="4729" w:y="5406"/>
        <w:widowControl w:val="0"/>
        <w:autoSpaceDE w:val="0"/>
        <w:autoSpaceDN w:val="0"/>
        <w:spacing w:line="319" w:lineRule="exact"/>
        <w:rPr>
          <w:rFonts w:hAnsi="Calibri"/>
          <w:color w:val="000000"/>
          <w:sz w:val="32"/>
          <w:szCs w:val="22"/>
          <w:lang w:val="en-US" w:eastAsia="en-US" w:bidi="ar-SA"/>
        </w:rPr>
      </w:pPr>
      <w:r>
        <w:rPr>
          <w:rFonts w:ascii="SimHei" w:hAnsi="Calibri"/>
          <w:color w:val="000000"/>
          <w:spacing w:val="1"/>
          <w:sz w:val="32"/>
          <w:szCs w:val="22"/>
          <w:lang w:val="en-US" w:eastAsia="en-US" w:bidi="ar-SA"/>
        </w:rPr>
        <w:t>2020</w:t>
      </w:r>
      <w:r>
        <w:rPr>
          <w:rFonts w:ascii="SimHei" w:hAnsi="SimHei" w:cs="SimHei"/>
          <w:color w:val="000000"/>
          <w:spacing w:val="2"/>
          <w:sz w:val="32"/>
          <w:szCs w:val="22"/>
          <w:lang w:val="en-US" w:eastAsia="en-US" w:bidi="ar-SA"/>
        </w:rPr>
        <w:t>年年度报告摘要</w:t>
      </w:r>
    </w:p>
    <w:p>
      <w:pPr>
        <w:spacing w:line="0" w:lineRule="atLeast"/>
        <w:rPr>
          <w:rFonts w:ascii="Arial" w:hAnsi="Calibri"/>
          <w:color w:val="FF0000"/>
          <w:sz w:val="2"/>
          <w:szCs w:val="22"/>
          <w:lang w:val="en-US" w:eastAsia="en-US" w:bidi="ar-SA"/>
        </w:rPr>
      </w:pPr>
    </w:p>
    <w:p>
      <w:pPr>
        <w:spacing w:line="0" w:lineRule="atLeast"/>
        <w:rPr>
          <w:rFonts w:ascii="Arial" w:hAnsi="Calibri"/>
          <w:color w:val="FF0000"/>
          <w:sz w:val="2"/>
          <w:szCs w:val="22"/>
          <w:lang w:val="en-US" w:eastAsia="en-US" w:bidi="ar-SA"/>
        </w:rPr>
        <w:sectPr>
          <w:pgSz w:w="11900" w:h="16820"/>
          <w:pgMar w:top="0" w:right="0" w:bottom="0" w:left="0" w:header="720" w:footer="720" w:gutter="0"/>
          <w:pgNumType w:start="1"/>
          <w:cols w:sep="0" w:space="720"/>
          <w:docGrid w:linePitch="1"/>
        </w:sectPr>
      </w:pPr>
    </w:p>
    <w:p>
      <w:pPr>
        <w:spacing w:line="0" w:lineRule="atLeast"/>
        <w:rPr>
          <w:rFonts w:ascii="Arial" w:eastAsiaTheme="minorEastAsia" w:hAnsiTheme="minorHAnsi" w:cstheme="minorBidi"/>
          <w:color w:val="FF0000"/>
          <w:sz w:val="2"/>
          <w:szCs w:val="22"/>
          <w:lang w:val="en-US" w:eastAsia="en-US" w:bidi="ar-SA"/>
        </w:rPr>
      </w:pPr>
      <w:bookmarkStart w:id="1" w:name="br1_0"/>
      <w:bookmarkEnd w:id="1"/>
      <w:r>
        <w:rPr>
          <w:rFonts w:ascii="Arial" w:eastAsiaTheme="minorEastAsia" w:hAnsiTheme="minorHAnsi" w:cstheme="minorBidi"/>
          <w:color w:val="FF0000"/>
          <w:sz w:val="2"/>
          <w:szCs w:val="22"/>
          <w:lang w:val="en-US" w:eastAsia="en-US" w:bidi="ar-SA"/>
        </w:rPr>
        <w:t xml:space="preserve"> </w:t>
      </w:r>
    </w:p>
    <w:p>
      <w:pPr>
        <w:framePr w:w="1624" w:x="1800" w:y="1936"/>
        <w:widowControl w:val="0"/>
        <w:autoSpaceDE w:val="0"/>
        <w:autoSpaceDN w:val="0"/>
        <w:spacing w:line="240" w:lineRule="exact"/>
        <w:rPr>
          <w:rFonts w:eastAsiaTheme="minorEastAsia" w:hAnsiTheme="minorHAnsi" w:cstheme="minorBidi"/>
          <w:color w:val="000000"/>
          <w:szCs w:val="22"/>
          <w:lang w:val="en-US" w:eastAsia="en-US" w:bidi="ar-SA"/>
        </w:rPr>
      </w:pPr>
      <w:r>
        <w:rPr>
          <w:rFonts w:ascii="SimHei" w:hAnsi="SimHei" w:eastAsiaTheme="minorEastAsia" w:cs="SimHei"/>
          <w:color w:val="000000"/>
          <w:szCs w:val="22"/>
          <w:lang w:val="en-US" w:eastAsia="en-US" w:bidi="ar-SA"/>
        </w:rPr>
        <w:t>一</w:t>
      </w:r>
      <w:r>
        <w:rPr>
          <w:rFonts w:eastAsiaTheme="minorEastAsia" w:hAnsiTheme="minorHAnsi" w:cstheme="minorBidi"/>
          <w:color w:val="000000"/>
          <w:spacing w:val="120"/>
          <w:szCs w:val="22"/>
          <w:lang w:val="en-US" w:eastAsia="en-US" w:bidi="ar-SA"/>
        </w:rPr>
        <w:t xml:space="preserve"> </w:t>
      </w:r>
      <w:r>
        <w:rPr>
          <w:rFonts w:ascii="SimHei" w:hAnsi="SimHei" w:eastAsiaTheme="minorEastAsia" w:cs="SimHei"/>
          <w:color w:val="000000"/>
          <w:spacing w:val="1"/>
          <w:szCs w:val="22"/>
          <w:lang w:val="en-US" w:eastAsia="en-US" w:bidi="ar-SA"/>
        </w:rPr>
        <w:t>重要提示</w:t>
      </w:r>
    </w:p>
    <w:p>
      <w:pPr>
        <w:framePr w:w="346" w:x="1800" w:y="2419"/>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w:t>
      </w:r>
    </w:p>
    <w:p>
      <w:pPr>
        <w:framePr w:w="8728" w:x="2141" w:y="2419"/>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2"/>
          <w:sz w:val="21"/>
          <w:szCs w:val="22"/>
          <w:lang w:val="en-US" w:eastAsia="en-US" w:bidi="ar-SA"/>
        </w:rPr>
        <w:t>本年度报告摘要来自年度报告全文，为全面了解本公司的经营成果、财务状况及未来发展规</w:t>
      </w:r>
    </w:p>
    <w:p>
      <w:pPr>
        <w:framePr w:w="8728" w:x="2141" w:y="2419"/>
        <w:widowControl w:val="0"/>
        <w:autoSpaceDE w:val="0"/>
        <w:autoSpaceDN w:val="0"/>
        <w:spacing w:before="257"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划，投资者应当到上海证券交易所网站等中国证监会指定媒体上仔细阅读年度报告全文。</w:t>
      </w:r>
    </w:p>
    <w:p>
      <w:pPr>
        <w:framePr w:w="346" w:x="1800" w:y="3511"/>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w:t>
      </w:r>
    </w:p>
    <w:p>
      <w:pPr>
        <w:framePr w:w="8899" w:x="2170" w:y="3511"/>
        <w:widowControl w:val="0"/>
        <w:autoSpaceDE w:val="0"/>
        <w:autoSpaceDN w:val="0"/>
        <w:spacing w:line="211" w:lineRule="exact"/>
        <w:ind w:left="65"/>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3"/>
          <w:sz w:val="21"/>
          <w:szCs w:val="22"/>
          <w:lang w:val="en-US" w:eastAsia="en-US" w:bidi="ar-SA"/>
        </w:rPr>
        <w:t>本公司董事会、监事会及董事、监事、高级管理人员保证年度报告内容的真实、准确、完整，</w:t>
      </w:r>
    </w:p>
    <w:p>
      <w:pPr>
        <w:framePr w:w="8899" w:x="2170" w:y="3511"/>
        <w:widowControl w:val="0"/>
        <w:autoSpaceDE w:val="0"/>
        <w:autoSpaceDN w:val="0"/>
        <w:spacing w:before="257"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不存在虚假记载、误导性陈述或重大遗漏，并承担个别和连带的法律责任。</w:t>
      </w:r>
    </w:p>
    <w:p>
      <w:pPr>
        <w:framePr w:w="346" w:x="1800" w:y="4603"/>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3</w:t>
      </w:r>
    </w:p>
    <w:p>
      <w:pPr>
        <w:framePr w:w="346" w:x="1800" w:y="4603"/>
        <w:widowControl w:val="0"/>
        <w:autoSpaceDE w:val="0"/>
        <w:autoSpaceDN w:val="0"/>
        <w:spacing w:before="413"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4</w:t>
      </w:r>
    </w:p>
    <w:p>
      <w:pPr>
        <w:framePr w:w="346" w:x="1800" w:y="4603"/>
        <w:widowControl w:val="0"/>
        <w:autoSpaceDE w:val="0"/>
        <w:autoSpaceDN w:val="0"/>
        <w:spacing w:before="413"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5</w:t>
      </w:r>
    </w:p>
    <w:p>
      <w:pPr>
        <w:framePr w:w="3197" w:x="2249" w:y="4603"/>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公司全体董事出席董事会会议。</w:t>
      </w:r>
    </w:p>
    <w:p>
      <w:pPr>
        <w:framePr w:w="7843" w:x="2319" w:y="5228"/>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大华会计师事务所（特殊普通合伙）为本公司出具了标准无保留意见的审计报告。</w:t>
      </w:r>
    </w:p>
    <w:p>
      <w:pPr>
        <w:framePr w:w="5731" w:x="2220" w:y="5852"/>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经董事会审议的报告期利润分配预案或公积金转增股本预案</w:t>
      </w:r>
    </w:p>
    <w:p>
      <w:pPr>
        <w:framePr w:w="8688" w:x="2220" w:y="6319"/>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4"/>
          <w:sz w:val="21"/>
          <w:szCs w:val="22"/>
          <w:lang w:val="en-US" w:eastAsia="en-US" w:bidi="ar-SA"/>
        </w:rPr>
        <w:t>经公司第四届董事会第二次会议审议通过了《关于</w:t>
      </w:r>
      <w:r>
        <w:rPr>
          <w:rFonts w:eastAsiaTheme="minorEastAsia" w:hAnsiTheme="minorHAnsi" w:cstheme="minorBidi"/>
          <w:color w:val="000000"/>
          <w:spacing w:val="3"/>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2020</w:t>
      </w:r>
      <w:r>
        <w:rPr>
          <w:rFonts w:ascii="SimSun" w:hAnsi="SimSun" w:eastAsiaTheme="minorEastAsia" w:cs="SimSun"/>
          <w:color w:val="000000"/>
          <w:sz w:val="21"/>
          <w:szCs w:val="22"/>
          <w:lang w:val="en-US" w:eastAsia="en-US" w:bidi="ar-SA"/>
        </w:rPr>
        <w:t>年度利润分配及资本公积金转增股本</w:t>
      </w:r>
    </w:p>
    <w:p>
      <w:pPr>
        <w:framePr w:w="9322" w:x="1800" w:y="6788"/>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hAnsi="SimSun" w:eastAsiaTheme="minorEastAsia" w:cs="SimSun"/>
          <w:color w:val="000000"/>
          <w:spacing w:val="-9"/>
          <w:sz w:val="21"/>
          <w:szCs w:val="22"/>
          <w:lang w:val="en-US" w:eastAsia="en-US" w:bidi="ar-SA"/>
        </w:rPr>
        <w:t>预案的议案》，以实施权益分派股权登记日的总股本为基数，向全体股东每</w:t>
      </w:r>
      <w:r>
        <w:rPr>
          <w:rFonts w:eastAsiaTheme="minorEastAsia" w:hAnsiTheme="minorHAnsi" w:cstheme="minorBidi"/>
          <w:color w:val="000000"/>
          <w:spacing w:val="-6"/>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10</w:t>
      </w:r>
      <w:r>
        <w:rPr>
          <w:rFonts w:ascii="SimSun" w:hAnsi="SimSun" w:eastAsiaTheme="minorEastAsia" w:cs="SimSun"/>
          <w:color w:val="000000"/>
          <w:sz w:val="21"/>
          <w:szCs w:val="22"/>
          <w:lang w:val="en-US" w:eastAsia="en-US" w:bidi="ar-SA"/>
        </w:rPr>
        <w:t>股派发现金红利</w:t>
      </w:r>
      <w:r>
        <w:rPr>
          <w:rFonts w:eastAsiaTheme="minorEastAsia" w:hAnsiTheme="minorHAnsi" w:cstheme="minorBidi"/>
          <w:color w:val="000000"/>
          <w:spacing w:val="-13"/>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3.50</w:t>
      </w:r>
    </w:p>
    <w:p>
      <w:pPr>
        <w:framePr w:w="9322" w:x="1800" w:y="6788"/>
        <w:widowControl w:val="0"/>
        <w:autoSpaceDE w:val="0"/>
        <w:autoSpaceDN w:val="0"/>
        <w:spacing w:before="257"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7"/>
          <w:sz w:val="21"/>
          <w:szCs w:val="22"/>
          <w:lang w:val="en-US" w:eastAsia="en-US" w:bidi="ar-SA"/>
        </w:rPr>
        <w:t>元（含税）；同时以资本公积金向全体股东每</w:t>
      </w:r>
      <w:r>
        <w:rPr>
          <w:rFonts w:eastAsiaTheme="minorEastAsia" w:hAnsiTheme="minorHAnsi" w:cstheme="minorBidi"/>
          <w:color w:val="000000"/>
          <w:spacing w:val="9"/>
          <w:sz w:val="21"/>
          <w:szCs w:val="22"/>
          <w:lang w:val="en-US" w:eastAsia="en-US" w:bidi="ar-SA"/>
        </w:rPr>
        <w:t xml:space="preserve"> </w:t>
      </w:r>
      <w:r>
        <w:rPr>
          <w:rFonts w:ascii="SimSun" w:eastAsiaTheme="minorEastAsia" w:hAnsiTheme="minorHAnsi" w:cstheme="minorBidi"/>
          <w:color w:val="000000"/>
          <w:spacing w:val="-1"/>
          <w:sz w:val="21"/>
          <w:szCs w:val="22"/>
          <w:lang w:val="en-US" w:eastAsia="en-US" w:bidi="ar-SA"/>
        </w:rPr>
        <w:t>10</w:t>
      </w:r>
      <w:r>
        <w:rPr>
          <w:rFonts w:ascii="SimSun" w:hAnsi="SimSun" w:eastAsiaTheme="minorEastAsia" w:cs="SimSun"/>
          <w:color w:val="000000"/>
          <w:spacing w:val="-1"/>
          <w:sz w:val="21"/>
          <w:szCs w:val="22"/>
          <w:lang w:val="en-US" w:eastAsia="en-US" w:bidi="ar-SA"/>
        </w:rPr>
        <w:t>股转增</w:t>
      </w:r>
      <w:r>
        <w:rPr>
          <w:rFonts w:eastAsiaTheme="minorEastAsia" w:hAnsiTheme="minorHAnsi" w:cstheme="minorBidi"/>
          <w:color w:val="000000"/>
          <w:spacing w:val="3"/>
          <w:sz w:val="21"/>
          <w:szCs w:val="22"/>
          <w:lang w:val="en-US" w:eastAsia="en-US" w:bidi="ar-SA"/>
        </w:rPr>
        <w:t xml:space="preserve"> </w:t>
      </w:r>
      <w:r>
        <w:rPr>
          <w:rFonts w:ascii="SimSun" w:eastAsiaTheme="minorEastAsia" w:hAnsiTheme="minorHAnsi" w:cstheme="minorBidi"/>
          <w:color w:val="000000"/>
          <w:spacing w:val="53"/>
          <w:sz w:val="21"/>
          <w:szCs w:val="22"/>
          <w:lang w:val="en-US" w:eastAsia="en-US" w:bidi="ar-SA"/>
        </w:rPr>
        <w:t>4</w:t>
      </w:r>
      <w:r>
        <w:rPr>
          <w:rFonts w:ascii="SimSun" w:hAnsi="SimSun" w:eastAsiaTheme="minorEastAsia" w:cs="SimSun"/>
          <w:color w:val="000000"/>
          <w:spacing w:val="-6"/>
          <w:sz w:val="21"/>
          <w:szCs w:val="22"/>
          <w:lang w:val="en-US" w:eastAsia="en-US" w:bidi="ar-SA"/>
        </w:rPr>
        <w:t>股。截至</w:t>
      </w:r>
      <w:r>
        <w:rPr>
          <w:rFonts w:eastAsiaTheme="minorEastAsia" w:hAnsiTheme="minorHAnsi" w:cstheme="minorBidi"/>
          <w:color w:val="000000"/>
          <w:spacing w:val="8"/>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2020</w:t>
      </w:r>
      <w:r>
        <w:rPr>
          <w:rFonts w:ascii="SimSun" w:hAnsi="SimSun" w:eastAsiaTheme="minorEastAsia" w:cs="SimSun"/>
          <w:color w:val="000000"/>
          <w:sz w:val="21"/>
          <w:szCs w:val="22"/>
          <w:lang w:val="en-US" w:eastAsia="en-US" w:bidi="ar-SA"/>
        </w:rPr>
        <w:t>年</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12</w:t>
      </w:r>
      <w:r>
        <w:rPr>
          <w:rFonts w:ascii="SimSun" w:hAnsi="SimSun" w:eastAsiaTheme="minorEastAsia" w:cs="SimSun"/>
          <w:color w:val="000000"/>
          <w:sz w:val="21"/>
          <w:szCs w:val="22"/>
          <w:lang w:val="en-US" w:eastAsia="en-US" w:bidi="ar-SA"/>
        </w:rPr>
        <w:t>月</w:t>
      </w:r>
      <w:r>
        <w:rPr>
          <w:rFonts w:eastAsiaTheme="minorEastAsia" w:hAnsiTheme="minorHAnsi" w:cstheme="minorBidi"/>
          <w:color w:val="000000"/>
          <w:spacing w:val="2"/>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31</w:t>
      </w:r>
      <w:r>
        <w:rPr>
          <w:rFonts w:ascii="SimSun" w:hAnsi="SimSun" w:eastAsiaTheme="minorEastAsia" w:cs="SimSun"/>
          <w:color w:val="000000"/>
          <w:spacing w:val="-5"/>
          <w:sz w:val="21"/>
          <w:szCs w:val="22"/>
          <w:lang w:val="en-US" w:eastAsia="en-US" w:bidi="ar-SA"/>
        </w:rPr>
        <w:t>日，公司总股</w:t>
      </w:r>
    </w:p>
    <w:p>
      <w:pPr>
        <w:framePr w:w="9322" w:x="1800" w:y="6788"/>
        <w:widowControl w:val="0"/>
        <w:autoSpaceDE w:val="0"/>
        <w:autoSpaceDN w:val="0"/>
        <w:spacing w:before="257"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本</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15,849</w:t>
      </w:r>
      <w:r>
        <w:rPr>
          <w:rFonts w:ascii="SimSun" w:hAnsi="SimSun" w:eastAsiaTheme="minorEastAsia" w:cs="SimSun"/>
          <w:color w:val="000000"/>
          <w:spacing w:val="-1"/>
          <w:sz w:val="21"/>
          <w:szCs w:val="22"/>
          <w:lang w:val="en-US" w:eastAsia="en-US" w:bidi="ar-SA"/>
        </w:rPr>
        <w:t>万股，共计派发现金红利</w:t>
      </w:r>
      <w:r>
        <w:rPr>
          <w:rFonts w:eastAsiaTheme="minorEastAsia" w:hAnsiTheme="minorHAnsi" w:cstheme="minorBidi"/>
          <w:color w:val="000000"/>
          <w:spacing w:val="3"/>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55,471,500</w:t>
      </w:r>
      <w:r>
        <w:rPr>
          <w:rFonts w:ascii="SimSun" w:hAnsi="SimSun" w:eastAsiaTheme="minorEastAsia" w:cs="SimSun"/>
          <w:color w:val="000000"/>
          <w:spacing w:val="-7"/>
          <w:sz w:val="21"/>
          <w:szCs w:val="22"/>
          <w:lang w:val="en-US" w:eastAsia="en-US" w:bidi="ar-SA"/>
        </w:rPr>
        <w:t>元（含税），本年度公司现金分红比例为</w:t>
      </w:r>
      <w:r>
        <w:rPr>
          <w:rFonts w:eastAsiaTheme="minorEastAsia" w:hAnsiTheme="minorHAnsi" w:cstheme="minorBidi"/>
          <w:color w:val="000000"/>
          <w:spacing w:val="9"/>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31.51%</w:t>
      </w:r>
      <w:r>
        <w:rPr>
          <w:rFonts w:ascii="SimSun" w:hAnsi="SimSun" w:eastAsiaTheme="minorEastAsia" w:cs="SimSun"/>
          <w:color w:val="000000"/>
          <w:sz w:val="21"/>
          <w:szCs w:val="22"/>
          <w:lang w:val="en-US" w:eastAsia="en-US" w:bidi="ar-SA"/>
        </w:rPr>
        <w:t>。</w:t>
      </w:r>
    </w:p>
    <w:p>
      <w:pPr>
        <w:framePr w:w="9322" w:x="1800" w:y="6788"/>
        <w:widowControl w:val="0"/>
        <w:autoSpaceDE w:val="0"/>
        <w:autoSpaceDN w:val="0"/>
        <w:spacing w:before="257"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本次利润分配及资本公积金转增股本方案尚需提交</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2020</w:t>
      </w:r>
      <w:r>
        <w:rPr>
          <w:rFonts w:ascii="SimSun" w:hAnsi="SimSun" w:eastAsiaTheme="minorEastAsia" w:cs="SimSun"/>
          <w:color w:val="000000"/>
          <w:sz w:val="21"/>
          <w:szCs w:val="22"/>
          <w:lang w:val="en-US" w:eastAsia="en-US" w:bidi="ar-SA"/>
        </w:rPr>
        <w:t>年年度股东大会审议。</w:t>
      </w:r>
    </w:p>
    <w:p>
      <w:pPr>
        <w:framePr w:w="9322" w:x="1800" w:y="6788"/>
        <w:widowControl w:val="0"/>
        <w:autoSpaceDE w:val="0"/>
        <w:autoSpaceDN w:val="0"/>
        <w:spacing w:before="242" w:line="240" w:lineRule="exact"/>
        <w:rPr>
          <w:rFonts w:eastAsiaTheme="minorEastAsia" w:hAnsiTheme="minorHAnsi" w:cstheme="minorBidi"/>
          <w:color w:val="000000"/>
          <w:szCs w:val="22"/>
          <w:lang w:val="en-US" w:eastAsia="en-US" w:bidi="ar-SA"/>
        </w:rPr>
      </w:pPr>
      <w:r>
        <w:rPr>
          <w:rFonts w:ascii="SimHei" w:hAnsi="SimHei" w:eastAsiaTheme="minorEastAsia" w:cs="SimHei"/>
          <w:color w:val="000000"/>
          <w:szCs w:val="22"/>
          <w:lang w:val="en-US" w:eastAsia="en-US" w:bidi="ar-SA"/>
        </w:rPr>
        <w:t>二</w:t>
      </w:r>
      <w:r>
        <w:rPr>
          <w:rFonts w:eastAsiaTheme="minorEastAsia" w:hAnsiTheme="minorHAnsi" w:cstheme="minorBidi"/>
          <w:color w:val="000000"/>
          <w:spacing w:val="120"/>
          <w:szCs w:val="22"/>
          <w:lang w:val="en-US" w:eastAsia="en-US" w:bidi="ar-SA"/>
        </w:rPr>
        <w:t xml:space="preserve"> </w:t>
      </w:r>
      <w:r>
        <w:rPr>
          <w:rFonts w:ascii="SimHei" w:hAnsi="SimHei" w:eastAsiaTheme="minorEastAsia" w:cs="SimHei"/>
          <w:color w:val="000000"/>
          <w:spacing w:val="1"/>
          <w:szCs w:val="22"/>
          <w:lang w:val="en-US" w:eastAsia="en-US" w:bidi="ar-SA"/>
        </w:rPr>
        <w:t>公司基本情况</w:t>
      </w:r>
    </w:p>
    <w:p>
      <w:pPr>
        <w:framePr w:w="346" w:x="1800" w:y="9128"/>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w:t>
      </w:r>
    </w:p>
    <w:p>
      <w:pPr>
        <w:framePr w:w="1085" w:x="2220" w:y="9128"/>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公司简介</w:t>
      </w:r>
    </w:p>
    <w:p>
      <w:pPr>
        <w:framePr w:w="1507" w:x="5586" w:y="9507"/>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公司股票简况</w:t>
      </w:r>
    </w:p>
    <w:p>
      <w:pPr>
        <w:framePr w:w="1507" w:x="5586" w:y="9507"/>
        <w:widowControl w:val="0"/>
        <w:autoSpaceDE w:val="0"/>
        <w:autoSpaceDN w:val="0"/>
        <w:spacing w:before="91" w:line="211" w:lineRule="exact"/>
        <w:ind w:left="211"/>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股票简称</w:t>
      </w:r>
    </w:p>
    <w:p>
      <w:pPr>
        <w:framePr w:w="1085" w:x="2240" w:y="9809"/>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股票种类</w:t>
      </w:r>
    </w:p>
    <w:p>
      <w:pPr>
        <w:framePr w:w="1718" w:x="3701" w:y="9809"/>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股票上市交易所</w:t>
      </w:r>
    </w:p>
    <w:p>
      <w:pPr>
        <w:framePr w:w="1718" w:x="3701" w:y="9809"/>
        <w:widowControl w:val="0"/>
        <w:autoSpaceDE w:val="0"/>
        <w:autoSpaceDN w:val="0"/>
        <w:spacing w:before="91" w:line="211" w:lineRule="exact"/>
        <w:ind w:left="421"/>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上交所</w:t>
      </w:r>
    </w:p>
    <w:p>
      <w:pPr>
        <w:framePr w:w="1085" w:x="7576" w:y="9809"/>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股票代码</w:t>
      </w:r>
    </w:p>
    <w:p>
      <w:pPr>
        <w:framePr w:w="1718" w:x="9038" w:y="9809"/>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变更前股票简称</w:t>
      </w:r>
    </w:p>
    <w:p>
      <w:pPr>
        <w:framePr w:w="322" w:x="9734" w:y="10078"/>
        <w:widowControl w:val="0"/>
        <w:autoSpaceDE w:val="0"/>
        <w:autoSpaceDN w:val="0"/>
        <w:spacing w:line="258" w:lineRule="exact"/>
        <w:rPr>
          <w:rFonts w:ascii="Calibri" w:eastAsiaTheme="minorEastAsia" w:hAnsiTheme="minorHAnsi" w:cstheme="minorBidi"/>
          <w:color w:val="000000"/>
          <w:sz w:val="21"/>
          <w:szCs w:val="22"/>
          <w:lang w:val="en-US" w:eastAsia="en-US" w:bidi="ar-SA"/>
        </w:rPr>
      </w:pPr>
      <w:r>
        <w:rPr>
          <w:rFonts w:ascii="Calibri" w:eastAsiaTheme="minorEastAsia" w:hAnsiTheme="minorHAnsi" w:cstheme="minorBidi"/>
          <w:color w:val="000000"/>
          <w:sz w:val="21"/>
          <w:szCs w:val="22"/>
          <w:lang w:val="en-US" w:eastAsia="en-US" w:bidi="ar-SA"/>
        </w:rPr>
        <w:t>/</w:t>
      </w:r>
    </w:p>
    <w:p>
      <w:pPr>
        <w:framePr w:w="557" w:x="2501" w:y="10112"/>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A</w:t>
      </w:r>
      <w:r>
        <w:rPr>
          <w:rFonts w:ascii="SimSun" w:hAnsi="SimSun" w:eastAsiaTheme="minorEastAsia" w:cs="SimSun"/>
          <w:color w:val="000000"/>
          <w:sz w:val="21"/>
          <w:szCs w:val="22"/>
          <w:lang w:val="en-US" w:eastAsia="en-US" w:bidi="ar-SA"/>
        </w:rPr>
        <w:t>股</w:t>
      </w:r>
    </w:p>
    <w:p>
      <w:pPr>
        <w:framePr w:w="1085" w:x="5797" w:y="10112"/>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先达股份</w:t>
      </w:r>
    </w:p>
    <w:p>
      <w:pPr>
        <w:framePr w:w="874" w:x="7679" w:y="10112"/>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603086</w:t>
      </w:r>
    </w:p>
    <w:p>
      <w:pPr>
        <w:framePr w:w="1930" w:x="1827" w:y="11050"/>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联系人和联系方式</w:t>
      </w:r>
    </w:p>
    <w:p>
      <w:pPr>
        <w:framePr w:w="1930" w:x="1827" w:y="11050"/>
        <w:widowControl w:val="0"/>
        <w:autoSpaceDE w:val="0"/>
        <w:autoSpaceDN w:val="0"/>
        <w:spacing w:before="70" w:line="211" w:lineRule="exact"/>
        <w:ind w:left="631"/>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姓名</w:t>
      </w:r>
    </w:p>
    <w:p>
      <w:pPr>
        <w:framePr w:w="1296" w:x="4890" w:y="11050"/>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董事会秘书</w:t>
      </w:r>
    </w:p>
    <w:p>
      <w:pPr>
        <w:framePr w:w="1507" w:x="8334" w:y="11050"/>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证券事务代表</w:t>
      </w:r>
    </w:p>
    <w:p>
      <w:pPr>
        <w:framePr w:w="874" w:x="3752" w:y="11331"/>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江广同</w:t>
      </w:r>
    </w:p>
    <w:p>
      <w:pPr>
        <w:framePr w:w="874" w:x="7297" w:y="11331"/>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韩恩娟</w:t>
      </w:r>
    </w:p>
    <w:p>
      <w:pPr>
        <w:framePr w:w="1085" w:x="2247" w:y="11614"/>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办公地址</w:t>
      </w:r>
    </w:p>
    <w:p>
      <w:pPr>
        <w:framePr w:w="3408" w:x="3752" w:y="11614"/>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山东省博兴县经济开发区兴博一路</w:t>
      </w:r>
    </w:p>
    <w:p>
      <w:pPr>
        <w:framePr w:w="3408" w:x="3752" w:y="11614"/>
        <w:widowControl w:val="0"/>
        <w:autoSpaceDE w:val="0"/>
        <w:autoSpaceDN w:val="0"/>
        <w:spacing w:before="60" w:line="211" w:lineRule="exact"/>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169</w:t>
      </w:r>
      <w:r>
        <w:rPr>
          <w:rFonts w:ascii="SimSun" w:hAnsi="SimSun" w:eastAsiaTheme="minorEastAsia" w:cs="SimSun"/>
          <w:color w:val="000000"/>
          <w:sz w:val="21"/>
          <w:szCs w:val="22"/>
          <w:lang w:val="en-US" w:eastAsia="en-US" w:bidi="ar-SA"/>
        </w:rPr>
        <w:t>号</w:t>
      </w:r>
    </w:p>
    <w:p>
      <w:pPr>
        <w:framePr w:w="3408" w:x="7297" w:y="11614"/>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山东省博兴县经济开发区兴博一路</w:t>
      </w:r>
    </w:p>
    <w:p>
      <w:pPr>
        <w:framePr w:w="3408" w:x="7297" w:y="11614"/>
        <w:widowControl w:val="0"/>
        <w:autoSpaceDE w:val="0"/>
        <w:autoSpaceDN w:val="0"/>
        <w:spacing w:before="60" w:line="211" w:lineRule="exact"/>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169</w:t>
      </w:r>
      <w:r>
        <w:rPr>
          <w:rFonts w:ascii="SimSun" w:hAnsi="SimSun" w:eastAsiaTheme="minorEastAsia" w:cs="SimSun"/>
          <w:color w:val="000000"/>
          <w:sz w:val="21"/>
          <w:szCs w:val="22"/>
          <w:lang w:val="en-US" w:eastAsia="en-US" w:bidi="ar-SA"/>
        </w:rPr>
        <w:t>号</w:t>
      </w:r>
    </w:p>
    <w:p>
      <w:pPr>
        <w:framePr w:w="662" w:x="2458" w:y="12169"/>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电话</w:t>
      </w:r>
    </w:p>
    <w:p>
      <w:pPr>
        <w:framePr w:w="1507" w:x="3752" w:y="12169"/>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0543-2328187</w:t>
      </w:r>
    </w:p>
    <w:p>
      <w:pPr>
        <w:framePr w:w="1507" w:x="7297" w:y="12169"/>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0543-2328187</w:t>
      </w:r>
    </w:p>
    <w:p>
      <w:pPr>
        <w:framePr w:w="1085" w:x="2247" w:y="12452"/>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电子信箱</w:t>
      </w:r>
    </w:p>
    <w:p>
      <w:pPr>
        <w:framePr w:w="1718" w:x="3752" w:y="12452"/>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cynda@cynda.cn</w:t>
      </w:r>
    </w:p>
    <w:p>
      <w:pPr>
        <w:framePr w:w="1718" w:x="7297" w:y="12452"/>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cynda@cynda.cn</w:t>
      </w:r>
    </w:p>
    <w:p>
      <w:pPr>
        <w:framePr w:w="346" w:x="1800" w:y="13144"/>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w:t>
      </w:r>
    </w:p>
    <w:p>
      <w:pPr>
        <w:framePr w:w="8899" w:x="2220" w:y="13144"/>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报告期公司主要业务简介</w:t>
      </w:r>
    </w:p>
    <w:p>
      <w:pPr>
        <w:framePr w:w="8899" w:x="2220" w:y="13144"/>
        <w:widowControl w:val="0"/>
        <w:autoSpaceDE w:val="0"/>
        <w:autoSpaceDN w:val="0"/>
        <w:spacing w:before="257"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（一）主要业务</w:t>
      </w:r>
    </w:p>
    <w:p>
      <w:pPr>
        <w:framePr w:w="8899" w:x="2220" w:y="13144"/>
        <w:widowControl w:val="0"/>
        <w:autoSpaceDE w:val="0"/>
        <w:autoSpaceDN w:val="0"/>
        <w:spacing w:before="257"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2"/>
          <w:sz w:val="21"/>
          <w:szCs w:val="22"/>
          <w:lang w:val="en-US" w:eastAsia="en-US" w:bidi="ar-SA"/>
        </w:rPr>
        <w:t>公司主要从事安全、高效、低毒、环境友好型农药原药及制剂、中间体的研发、生产和销售。</w:t>
      </w:r>
    </w:p>
    <w:p>
      <w:pPr>
        <w:framePr w:w="9110" w:x="1800" w:y="14548"/>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公司主要产品除草剂、杀菌剂、中间体，除草剂主要有环己烯酮类、咪唑啉酮类、异噁草松类产</w:t>
      </w:r>
    </w:p>
    <w:p>
      <w:pPr>
        <w:framePr w:w="9110" w:x="1800" w:y="14548"/>
        <w:widowControl w:val="0"/>
        <w:autoSpaceDE w:val="0"/>
        <w:autoSpaceDN w:val="0"/>
        <w:spacing w:before="257"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品等，杀菌剂为烯酰吗啉类。本公司秉承“专业化、精细化”的经营理念，一直深耕主业，自公</w:t>
      </w: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447.3pt;height:47.95pt;margin-top:472.4pt;margin-left:87.2pt;mso-position-horizontal-relative:page;mso-position-vertical-relative:page;position:absolute;z-index:-251652096">
            <v:imagedata r:id="rId4" o:title=""/>
          </v:shape>
        </w:pict>
      </w:r>
      <w:r>
        <w:rPr>
          <w:noProof/>
        </w:rPr>
        <w:pict>
          <v:shape id="_x0000_s1026" type="#_x0000_t75" style="width:454.95pt;height:86.65pt;margin-top:549.55pt;margin-left:83.4pt;mso-position-horizontal-relative:page;mso-position-vertical-relative:page;position:absolute;z-index:-251658240">
            <v:imagedata r:id="rId5" o:title=""/>
          </v:shape>
        </w:pict>
      </w:r>
    </w:p>
    <w:p>
      <w:pPr>
        <w:spacing w:line="0" w:lineRule="atLeast"/>
        <w:rPr>
          <w:rFonts w:ascii="Arial" w:eastAsiaTheme="minorEastAsia" w:hAnsiTheme="minorHAnsi" w:cstheme="minorBidi"/>
          <w:color w:val="FF0000"/>
          <w:sz w:val="2"/>
          <w:szCs w:val="22"/>
          <w:lang w:val="en-US" w:eastAsia="en-US" w:bidi="ar-SA"/>
        </w:rPr>
      </w:pPr>
      <w:bookmarkStart w:id="2" w:name="br1_1"/>
      <w:bookmarkEnd w:id="2"/>
      <w:r>
        <w:rPr>
          <w:rFonts w:ascii="Arial" w:eastAsiaTheme="minorEastAsia" w:hAnsiTheme="minorHAnsi" w:cstheme="minorBidi"/>
          <w:color w:val="FF0000"/>
          <w:sz w:val="2"/>
          <w:szCs w:val="22"/>
          <w:lang w:val="en-US" w:eastAsia="en-US" w:bidi="ar-SA"/>
        </w:rPr>
        <w:t xml:space="preserve"> </w:t>
      </w:r>
    </w:p>
    <w:p>
      <w:pPr>
        <w:framePr w:w="3619" w:x="1800" w:y="1639"/>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司成立以来，主营业务未发生变化。</w:t>
      </w:r>
    </w:p>
    <w:p>
      <w:pPr>
        <w:framePr w:w="1718" w:x="2220" w:y="2107"/>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（二）经营模式</w:t>
      </w:r>
    </w:p>
    <w:p>
      <w:pPr>
        <w:framePr w:w="9075" w:x="1800" w:y="2575"/>
        <w:widowControl w:val="0"/>
        <w:autoSpaceDE w:val="0"/>
        <w:autoSpaceDN w:val="0"/>
        <w:spacing w:line="211" w:lineRule="exact"/>
        <w:ind w:left="420"/>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公司经过多年的经营发展，现已建立完整的研发、采购、生产、质量检测、市场推广和销售</w:t>
      </w:r>
    </w:p>
    <w:p>
      <w:pPr>
        <w:framePr w:w="9075" w:x="1800" w:y="2575"/>
        <w:widowControl w:val="0"/>
        <w:autoSpaceDE w:val="0"/>
        <w:autoSpaceDN w:val="0"/>
        <w:spacing w:before="257"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体系，各中心相互协作，为公司稳定、持续、健康发展提供有力保障。</w:t>
      </w:r>
    </w:p>
    <w:p>
      <w:pPr>
        <w:framePr w:w="9075" w:x="1800" w:y="2575"/>
        <w:widowControl w:val="0"/>
        <w:autoSpaceDE w:val="0"/>
        <w:autoSpaceDN w:val="0"/>
        <w:spacing w:before="237" w:line="258" w:lineRule="exact"/>
        <w:ind w:left="420"/>
        <w:rPr>
          <w:rFonts w:eastAsiaTheme="minorEastAsia" w:hAnsiTheme="minorHAnsi" w:cstheme="minorBidi"/>
          <w:color w:val="000000"/>
          <w:sz w:val="21"/>
          <w:szCs w:val="22"/>
          <w:lang w:val="en-US" w:eastAsia="en-US" w:bidi="ar-SA"/>
        </w:rPr>
      </w:pPr>
      <w:r>
        <w:rPr>
          <w:rFonts w:ascii="Calibri" w:eastAsiaTheme="minorEastAsia" w:hAnsiTheme="minorHAnsi" w:cstheme="minorBidi"/>
          <w:color w:val="000000"/>
          <w:spacing w:val="2"/>
          <w:sz w:val="21"/>
          <w:szCs w:val="22"/>
          <w:lang w:val="en-US" w:eastAsia="en-US" w:bidi="ar-SA"/>
        </w:rPr>
        <w:t>1</w:t>
      </w:r>
      <w:r>
        <w:rPr>
          <w:rFonts w:ascii="SimSun" w:hAnsi="SimSun" w:eastAsiaTheme="minorEastAsia" w:cs="SimSun"/>
          <w:color w:val="000000"/>
          <w:sz w:val="21"/>
          <w:szCs w:val="22"/>
          <w:lang w:val="en-US" w:eastAsia="en-US" w:bidi="ar-SA"/>
        </w:rPr>
        <w:t>、研发模式</w:t>
      </w:r>
    </w:p>
    <w:p>
      <w:pPr>
        <w:framePr w:w="9116" w:x="1800" w:y="3979"/>
        <w:widowControl w:val="0"/>
        <w:autoSpaceDE w:val="0"/>
        <w:autoSpaceDN w:val="0"/>
        <w:spacing w:line="211" w:lineRule="exact"/>
        <w:ind w:left="420"/>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公司设有研究院，并建立一套完整的项目管理激励体系，为公司新产品的研发和现有产品的</w:t>
      </w:r>
    </w:p>
    <w:p>
      <w:pPr>
        <w:framePr w:w="9116" w:x="1800" w:y="3979"/>
        <w:widowControl w:val="0"/>
        <w:autoSpaceDE w:val="0"/>
        <w:autoSpaceDN w:val="0"/>
        <w:spacing w:before="237" w:line="258"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2"/>
          <w:sz w:val="21"/>
          <w:szCs w:val="22"/>
          <w:lang w:val="en-US" w:eastAsia="en-US" w:bidi="ar-SA"/>
        </w:rPr>
        <w:t>优化升级提供激励保障。</w:t>
      </w:r>
      <w:r>
        <w:rPr>
          <w:rFonts w:ascii="Calibri" w:eastAsiaTheme="minorEastAsia" w:hAnsiTheme="minorHAnsi" w:cstheme="minorBidi"/>
          <w:color w:val="000000"/>
          <w:sz w:val="21"/>
          <w:szCs w:val="22"/>
          <w:lang w:val="en-US" w:eastAsia="en-US" w:bidi="ar-SA"/>
        </w:rPr>
        <w:t>2015</w:t>
      </w:r>
      <w:r>
        <w:rPr>
          <w:rFonts w:ascii="Calibri" w:eastAsiaTheme="minorEastAsia" w:hAnsiTheme="minorHAnsi" w:cstheme="minorBidi"/>
          <w:color w:val="000000"/>
          <w:spacing w:val="5"/>
          <w:sz w:val="21"/>
          <w:szCs w:val="22"/>
          <w:lang w:val="en-US" w:eastAsia="en-US" w:bidi="ar-SA"/>
        </w:rPr>
        <w:t xml:space="preserve"> </w:t>
      </w:r>
      <w:r>
        <w:rPr>
          <w:rFonts w:ascii="SimSun" w:hAnsi="SimSun" w:eastAsiaTheme="minorEastAsia" w:cs="SimSun"/>
          <w:color w:val="000000"/>
          <w:spacing w:val="-1"/>
          <w:sz w:val="21"/>
          <w:szCs w:val="22"/>
          <w:lang w:val="en-US" w:eastAsia="en-US" w:bidi="ar-SA"/>
        </w:rPr>
        <w:t>年与南开大学农药国家工程研究中心、华中师范大学联合组建先达</w:t>
      </w:r>
    </w:p>
    <w:p>
      <w:pPr>
        <w:framePr w:w="9116" w:x="1800" w:y="3979"/>
        <w:widowControl w:val="0"/>
        <w:autoSpaceDE w:val="0"/>
        <w:autoSpaceDN w:val="0"/>
        <w:spacing w:before="210" w:line="258"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2"/>
          <w:sz w:val="21"/>
          <w:szCs w:val="22"/>
          <w:lang w:val="en-US" w:eastAsia="en-US" w:bidi="ar-SA"/>
        </w:rPr>
        <w:t>农化产业创新研究院，进行创制化合物的合作研究；</w:t>
      </w:r>
      <w:r>
        <w:rPr>
          <w:rFonts w:ascii="Calibri" w:eastAsiaTheme="minorEastAsia" w:hAnsiTheme="minorHAnsi" w:cstheme="minorBidi"/>
          <w:color w:val="000000"/>
          <w:spacing w:val="-2"/>
          <w:sz w:val="21"/>
          <w:szCs w:val="22"/>
          <w:lang w:val="en-US" w:eastAsia="en-US" w:bidi="ar-SA"/>
        </w:rPr>
        <w:t>2020</w:t>
      </w:r>
      <w:r>
        <w:rPr>
          <w:rFonts w:ascii="Calibri" w:eastAsiaTheme="minorEastAsia" w:hAnsiTheme="minorHAnsi" w:cstheme="minorBidi"/>
          <w:color w:val="000000"/>
          <w:spacing w:val="8"/>
          <w:sz w:val="21"/>
          <w:szCs w:val="22"/>
          <w:lang w:val="en-US" w:eastAsia="en-US" w:bidi="ar-SA"/>
        </w:rPr>
        <w:t xml:space="preserve"> </w:t>
      </w:r>
      <w:r>
        <w:rPr>
          <w:rFonts w:ascii="SimSun" w:hAnsi="SimSun" w:eastAsiaTheme="minorEastAsia" w:cs="SimSun"/>
          <w:color w:val="000000"/>
          <w:sz w:val="21"/>
          <w:szCs w:val="22"/>
          <w:lang w:val="en-US" w:eastAsia="en-US" w:bidi="ar-SA"/>
        </w:rPr>
        <w:t>年公司与贵州大学签署了新化合物创制</w:t>
      </w:r>
    </w:p>
    <w:p>
      <w:pPr>
        <w:framePr w:w="9116" w:x="1800" w:y="3979"/>
        <w:widowControl w:val="0"/>
        <w:autoSpaceDE w:val="0"/>
        <w:autoSpaceDN w:val="0"/>
        <w:spacing w:before="230"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研究开发协议，通过自主研发和院校合作加快提升公司技术创新能力。</w:t>
      </w:r>
    </w:p>
    <w:p>
      <w:pPr>
        <w:framePr w:w="9116" w:x="1800" w:y="3979"/>
        <w:widowControl w:val="0"/>
        <w:autoSpaceDE w:val="0"/>
        <w:autoSpaceDN w:val="0"/>
        <w:spacing w:before="237" w:line="258" w:lineRule="exact"/>
        <w:ind w:left="420"/>
        <w:rPr>
          <w:rFonts w:eastAsiaTheme="minorEastAsia" w:hAnsiTheme="minorHAnsi" w:cstheme="minorBidi"/>
          <w:color w:val="000000"/>
          <w:sz w:val="21"/>
          <w:szCs w:val="22"/>
          <w:lang w:val="en-US" w:eastAsia="en-US" w:bidi="ar-SA"/>
        </w:rPr>
      </w:pPr>
      <w:r>
        <w:rPr>
          <w:rFonts w:ascii="Calibri" w:eastAsiaTheme="minorEastAsia" w:hAnsiTheme="minorHAnsi" w:cstheme="minorBidi"/>
          <w:color w:val="000000"/>
          <w:spacing w:val="2"/>
          <w:sz w:val="21"/>
          <w:szCs w:val="22"/>
          <w:lang w:val="en-US" w:eastAsia="en-US" w:bidi="ar-SA"/>
        </w:rPr>
        <w:t>2</w:t>
      </w:r>
      <w:r>
        <w:rPr>
          <w:rFonts w:ascii="SimSun" w:hAnsi="SimSun" w:eastAsiaTheme="minorEastAsia" w:cs="SimSun"/>
          <w:color w:val="000000"/>
          <w:sz w:val="21"/>
          <w:szCs w:val="22"/>
          <w:lang w:val="en-US" w:eastAsia="en-US" w:bidi="ar-SA"/>
        </w:rPr>
        <w:t>、采购模式</w:t>
      </w:r>
    </w:p>
    <w:p>
      <w:pPr>
        <w:framePr w:w="9533" w:x="1800" w:y="6319"/>
        <w:widowControl w:val="0"/>
        <w:autoSpaceDE w:val="0"/>
        <w:autoSpaceDN w:val="0"/>
        <w:spacing w:line="211" w:lineRule="exact"/>
        <w:ind w:left="420"/>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2"/>
          <w:sz w:val="21"/>
          <w:szCs w:val="22"/>
          <w:lang w:val="en-US" w:eastAsia="en-US" w:bidi="ar-SA"/>
        </w:rPr>
        <w:t>本公司原辅材料采购主要由采购管理中心负责，按照审批后的《物资采购计划单》实施采购，</w:t>
      </w:r>
    </w:p>
    <w:p>
      <w:pPr>
        <w:framePr w:w="9533" w:x="1800" w:y="6319"/>
        <w:widowControl w:val="0"/>
        <w:autoSpaceDE w:val="0"/>
        <w:autoSpaceDN w:val="0"/>
        <w:spacing w:before="257"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所有采购的原料须经品质保障部检验合格后办理入库，公司仓库班负责原材料的出入库手续。</w:t>
      </w:r>
    </w:p>
    <w:p>
      <w:pPr>
        <w:framePr w:w="9533" w:x="1800" w:y="6319"/>
        <w:widowControl w:val="0"/>
        <w:autoSpaceDE w:val="0"/>
        <w:autoSpaceDN w:val="0"/>
        <w:spacing w:before="257" w:line="211" w:lineRule="exact"/>
        <w:ind w:left="420"/>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为保证采购原材料质量和价格，采购部门制定了严格的供应商考察标准和审核流程，公司根</w:t>
      </w:r>
    </w:p>
    <w:p>
      <w:pPr>
        <w:framePr w:w="9533" w:x="1800" w:y="6319"/>
        <w:widowControl w:val="0"/>
        <w:autoSpaceDE w:val="0"/>
        <w:autoSpaceDN w:val="0"/>
        <w:spacing w:before="257"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7"/>
          <w:sz w:val="21"/>
          <w:szCs w:val="22"/>
          <w:lang w:val="en-US" w:eastAsia="en-US" w:bidi="ar-SA"/>
        </w:rPr>
        <w:t>据供应商的资质条件、供货能力、产品质量等情况，将符合条件的供应商纳入《合格供应商名录》。</w:t>
      </w:r>
    </w:p>
    <w:p>
      <w:pPr>
        <w:framePr w:w="9533" w:x="1800" w:y="6319"/>
        <w:widowControl w:val="0"/>
        <w:autoSpaceDE w:val="0"/>
        <w:autoSpaceDN w:val="0"/>
        <w:spacing w:before="257"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2"/>
          <w:sz w:val="21"/>
          <w:szCs w:val="22"/>
          <w:lang w:val="en-US" w:eastAsia="en-US" w:bidi="ar-SA"/>
        </w:rPr>
        <w:t>对于选择范围广、用量较大的基础原材料，采购部门会用招标或询价比价方式确定最终的供应商。</w:t>
      </w:r>
    </w:p>
    <w:p>
      <w:pPr>
        <w:framePr w:w="9533" w:x="1800" w:y="6319"/>
        <w:widowControl w:val="0"/>
        <w:autoSpaceDE w:val="0"/>
        <w:autoSpaceDN w:val="0"/>
        <w:spacing w:before="257" w:line="211" w:lineRule="exact"/>
        <w:ind w:left="420"/>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对于重要原材料，为降低采购成本，公司会根据生产季节性和以往原材料价格进行适时调整</w:t>
      </w:r>
    </w:p>
    <w:p>
      <w:pPr>
        <w:framePr w:w="9533" w:x="1800" w:y="6319"/>
        <w:widowControl w:val="0"/>
        <w:autoSpaceDE w:val="0"/>
        <w:autoSpaceDN w:val="0"/>
        <w:spacing w:before="257"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2"/>
          <w:sz w:val="21"/>
          <w:szCs w:val="22"/>
          <w:lang w:val="en-US" w:eastAsia="en-US" w:bidi="ar-SA"/>
        </w:rPr>
        <w:t>采购计划，进行合理储备，确保稳定供应。对于通用性强的原辅材料根据生产计划制定采购计划，</w:t>
      </w:r>
    </w:p>
    <w:p>
      <w:pPr>
        <w:framePr w:w="9533" w:x="1800" w:y="6319"/>
        <w:widowControl w:val="0"/>
        <w:autoSpaceDE w:val="0"/>
        <w:autoSpaceDN w:val="0"/>
        <w:spacing w:before="257"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实施采购。</w:t>
      </w:r>
    </w:p>
    <w:p>
      <w:pPr>
        <w:framePr w:w="1403" w:x="2220" w:y="10044"/>
        <w:widowControl w:val="0"/>
        <w:autoSpaceDE w:val="0"/>
        <w:autoSpaceDN w:val="0"/>
        <w:spacing w:line="258" w:lineRule="exact"/>
        <w:rPr>
          <w:rFonts w:eastAsiaTheme="minorEastAsia" w:hAnsiTheme="minorHAnsi" w:cstheme="minorBidi"/>
          <w:color w:val="000000"/>
          <w:sz w:val="21"/>
          <w:szCs w:val="22"/>
          <w:lang w:val="en-US" w:eastAsia="en-US" w:bidi="ar-SA"/>
        </w:rPr>
      </w:pPr>
      <w:r>
        <w:rPr>
          <w:rFonts w:ascii="Calibri" w:eastAsiaTheme="minorEastAsia" w:hAnsiTheme="minorHAnsi" w:cstheme="minorBidi"/>
          <w:color w:val="000000"/>
          <w:spacing w:val="2"/>
          <w:sz w:val="21"/>
          <w:szCs w:val="22"/>
          <w:lang w:val="en-US" w:eastAsia="en-US" w:bidi="ar-SA"/>
        </w:rPr>
        <w:t>3</w:t>
      </w:r>
      <w:r>
        <w:rPr>
          <w:rFonts w:ascii="SimSun" w:hAnsi="SimSun" w:eastAsiaTheme="minorEastAsia" w:cs="SimSun"/>
          <w:color w:val="000000"/>
          <w:sz w:val="21"/>
          <w:szCs w:val="22"/>
          <w:lang w:val="en-US" w:eastAsia="en-US" w:bidi="ar-SA"/>
        </w:rPr>
        <w:t>、生产模式</w:t>
      </w:r>
    </w:p>
    <w:p>
      <w:pPr>
        <w:framePr w:w="9322" w:x="1800" w:y="10532"/>
        <w:widowControl w:val="0"/>
        <w:autoSpaceDE w:val="0"/>
        <w:autoSpaceDN w:val="0"/>
        <w:spacing w:line="211" w:lineRule="exact"/>
        <w:ind w:left="420"/>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本公司生产由制造中心统一负责组织实施，制造中心分管各个生产基地。由于农药施用的季</w:t>
      </w:r>
    </w:p>
    <w:p>
      <w:pPr>
        <w:framePr w:w="9322" w:x="1800" w:y="10532"/>
        <w:widowControl w:val="0"/>
        <w:autoSpaceDE w:val="0"/>
        <w:autoSpaceDN w:val="0"/>
        <w:spacing w:before="257"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节性较强，国内外市场均有其特定的销售淡旺季。原药生产模式根据公司下达的年度生产经营计</w:t>
      </w:r>
    </w:p>
    <w:p>
      <w:pPr>
        <w:framePr w:w="9322" w:x="1800" w:y="10532"/>
        <w:widowControl w:val="0"/>
        <w:autoSpaceDE w:val="0"/>
        <w:autoSpaceDN w:val="0"/>
        <w:spacing w:before="257"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2"/>
          <w:sz w:val="21"/>
          <w:szCs w:val="22"/>
          <w:lang w:val="en-US" w:eastAsia="en-US" w:bidi="ar-SA"/>
        </w:rPr>
        <w:t>划进行生产，各生产基地生产管理中心根据经营计划组织生产，成品入库储存以备销售旺季所用。</w:t>
      </w:r>
    </w:p>
    <w:p>
      <w:pPr>
        <w:framePr w:w="9322" w:x="1800" w:y="10532"/>
        <w:widowControl w:val="0"/>
        <w:autoSpaceDE w:val="0"/>
        <w:autoSpaceDN w:val="0"/>
        <w:spacing w:before="257"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制剂生产模式根据销售部门下达的订单进行生产，生产系统结合库存实际情况，决定实际生产的</w:t>
      </w:r>
    </w:p>
    <w:p>
      <w:pPr>
        <w:framePr w:w="9322" w:x="1800" w:y="10532"/>
        <w:widowControl w:val="0"/>
        <w:autoSpaceDE w:val="0"/>
        <w:autoSpaceDN w:val="0"/>
        <w:spacing w:before="257"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数量。</w:t>
      </w:r>
    </w:p>
    <w:p>
      <w:pPr>
        <w:framePr w:w="1403" w:x="2220" w:y="12853"/>
        <w:widowControl w:val="0"/>
        <w:autoSpaceDE w:val="0"/>
        <w:autoSpaceDN w:val="0"/>
        <w:spacing w:line="258" w:lineRule="exact"/>
        <w:rPr>
          <w:rFonts w:eastAsiaTheme="minorEastAsia" w:hAnsiTheme="minorHAnsi" w:cstheme="minorBidi"/>
          <w:color w:val="000000"/>
          <w:sz w:val="21"/>
          <w:szCs w:val="22"/>
          <w:lang w:val="en-US" w:eastAsia="en-US" w:bidi="ar-SA"/>
        </w:rPr>
      </w:pPr>
      <w:r>
        <w:rPr>
          <w:rFonts w:ascii="Calibri" w:eastAsiaTheme="minorEastAsia" w:hAnsiTheme="minorHAnsi" w:cstheme="minorBidi"/>
          <w:color w:val="000000"/>
          <w:spacing w:val="2"/>
          <w:sz w:val="21"/>
          <w:szCs w:val="22"/>
          <w:lang w:val="en-US" w:eastAsia="en-US" w:bidi="ar-SA"/>
        </w:rPr>
        <w:t>4</w:t>
      </w:r>
      <w:r>
        <w:rPr>
          <w:rFonts w:ascii="SimSun" w:hAnsi="SimSun" w:eastAsiaTheme="minorEastAsia" w:cs="SimSun"/>
          <w:color w:val="000000"/>
          <w:sz w:val="21"/>
          <w:szCs w:val="22"/>
          <w:lang w:val="en-US" w:eastAsia="en-US" w:bidi="ar-SA"/>
        </w:rPr>
        <w:t>、销售模式</w:t>
      </w:r>
    </w:p>
    <w:p>
      <w:pPr>
        <w:framePr w:w="2037" w:x="2220" w:y="13321"/>
        <w:widowControl w:val="0"/>
        <w:autoSpaceDE w:val="0"/>
        <w:autoSpaceDN w:val="0"/>
        <w:spacing w:line="258"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w:t>
      </w:r>
      <w:r>
        <w:rPr>
          <w:rFonts w:ascii="Calibri" w:eastAsiaTheme="minorEastAsia" w:hAnsiTheme="minorHAnsi" w:cstheme="minorBidi"/>
          <w:color w:val="000000"/>
          <w:spacing w:val="-1"/>
          <w:sz w:val="21"/>
          <w:szCs w:val="22"/>
          <w:lang w:val="en-US" w:eastAsia="en-US" w:bidi="ar-SA"/>
        </w:rPr>
        <w:t>1</w:t>
      </w:r>
      <w:r>
        <w:rPr>
          <w:rFonts w:ascii="SimSun" w:hAnsi="SimSun" w:eastAsiaTheme="minorEastAsia" w:cs="SimSun"/>
          <w:color w:val="000000"/>
          <w:sz w:val="21"/>
          <w:szCs w:val="22"/>
          <w:lang w:val="en-US" w:eastAsia="en-US" w:bidi="ar-SA"/>
        </w:rPr>
        <w:t>）国内销售模式</w:t>
      </w:r>
    </w:p>
    <w:p>
      <w:pPr>
        <w:framePr w:w="4675" w:x="2220" w:y="13808"/>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公司将产品直接销售给国内农化企业和经销商。</w:t>
      </w:r>
    </w:p>
    <w:p>
      <w:pPr>
        <w:framePr w:w="2037" w:x="2220" w:y="14257"/>
        <w:widowControl w:val="0"/>
        <w:autoSpaceDE w:val="0"/>
        <w:autoSpaceDN w:val="0"/>
        <w:spacing w:line="258"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w:t>
      </w:r>
      <w:r>
        <w:rPr>
          <w:rFonts w:ascii="Calibri" w:eastAsiaTheme="minorEastAsia" w:hAnsiTheme="minorHAnsi" w:cstheme="minorBidi"/>
          <w:color w:val="000000"/>
          <w:spacing w:val="-1"/>
          <w:sz w:val="21"/>
          <w:szCs w:val="22"/>
          <w:lang w:val="en-US" w:eastAsia="en-US" w:bidi="ar-SA"/>
        </w:rPr>
        <w:t>2</w:t>
      </w:r>
      <w:r>
        <w:rPr>
          <w:rFonts w:ascii="SimSun" w:hAnsi="SimSun" w:eastAsiaTheme="minorEastAsia" w:cs="SimSun"/>
          <w:color w:val="000000"/>
          <w:sz w:val="21"/>
          <w:szCs w:val="22"/>
          <w:lang w:val="en-US" w:eastAsia="en-US" w:bidi="ar-SA"/>
        </w:rPr>
        <w:t>）国外销售模式</w:t>
      </w:r>
    </w:p>
    <w:p>
      <w:pPr>
        <w:framePr w:w="8688" w:x="2220" w:y="14744"/>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公司国外销售模式分为自营出口和间接出口两种模式，自营出口是直接将产品销售给境外客</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p>
    <w:p>
      <w:pPr>
        <w:spacing w:line="0" w:lineRule="atLeast"/>
        <w:rPr>
          <w:rFonts w:ascii="Arial" w:eastAsiaTheme="minorEastAsia" w:hAnsiTheme="minorHAnsi" w:cstheme="minorBidi"/>
          <w:color w:val="FF0000"/>
          <w:sz w:val="2"/>
          <w:szCs w:val="22"/>
          <w:lang w:val="en-US" w:eastAsia="en-US" w:bidi="ar-SA"/>
        </w:rPr>
      </w:pPr>
      <w:bookmarkStart w:id="3" w:name="br1_2"/>
      <w:bookmarkEnd w:id="3"/>
      <w:r>
        <w:rPr>
          <w:rFonts w:ascii="Arial" w:eastAsiaTheme="minorEastAsia" w:hAnsiTheme="minorHAnsi" w:cstheme="minorBidi"/>
          <w:color w:val="FF0000"/>
          <w:sz w:val="2"/>
          <w:szCs w:val="22"/>
          <w:lang w:val="en-US" w:eastAsia="en-US" w:bidi="ar-SA"/>
        </w:rPr>
        <w:t xml:space="preserve"> </w:t>
      </w:r>
    </w:p>
    <w:p>
      <w:pPr>
        <w:framePr w:w="8266" w:x="1800" w:y="1639"/>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户；间接出口是公司现将产品销售给国内农药贸易商，再由贸易商将产品出口至境外。</w:t>
      </w:r>
    </w:p>
    <w:p>
      <w:pPr>
        <w:framePr w:w="8266" w:x="1800" w:y="1639"/>
        <w:widowControl w:val="0"/>
        <w:autoSpaceDE w:val="0"/>
        <w:autoSpaceDN w:val="0"/>
        <w:spacing w:before="257" w:line="211" w:lineRule="exact"/>
        <w:ind w:left="420"/>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（三）行业情况</w:t>
      </w:r>
    </w:p>
    <w:p>
      <w:pPr>
        <w:framePr w:w="7632" w:x="2220" w:y="2575"/>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本公司所属行业为化学原料及化学制品制造业，细分行业为化学农药制造行业。</w:t>
      </w:r>
    </w:p>
    <w:p>
      <w:pPr>
        <w:framePr w:w="9216" w:x="1800" w:y="3199"/>
        <w:widowControl w:val="0"/>
        <w:autoSpaceDE w:val="0"/>
        <w:autoSpaceDN w:val="0"/>
        <w:spacing w:line="211" w:lineRule="exact"/>
        <w:ind w:left="420"/>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2021</w:t>
      </w:r>
      <w:r>
        <w:rPr>
          <w:rFonts w:ascii="SimSun" w:hAnsi="SimSun" w:eastAsiaTheme="minorEastAsia" w:cs="SimSun"/>
          <w:color w:val="000000"/>
          <w:spacing w:val="-8"/>
          <w:sz w:val="21"/>
          <w:szCs w:val="22"/>
          <w:lang w:val="en-US" w:eastAsia="en-US" w:bidi="ar-SA"/>
        </w:rPr>
        <w:t>年的中央一号文件提出的目标任务中指出：“</w:t>
      </w:r>
      <w:r>
        <w:rPr>
          <w:rFonts w:ascii="SimSun" w:eastAsiaTheme="minorEastAsia" w:hAnsiTheme="minorHAnsi" w:cstheme="minorBidi"/>
          <w:color w:val="000000"/>
          <w:sz w:val="21"/>
          <w:szCs w:val="22"/>
          <w:lang w:val="en-US" w:eastAsia="en-US" w:bidi="ar-SA"/>
        </w:rPr>
        <w:t>2021</w:t>
      </w:r>
      <w:r>
        <w:rPr>
          <w:rFonts w:ascii="SimSun" w:hAnsi="SimSun" w:eastAsiaTheme="minorEastAsia" w:cs="SimSun"/>
          <w:color w:val="000000"/>
          <w:spacing w:val="-3"/>
          <w:sz w:val="21"/>
          <w:szCs w:val="22"/>
          <w:lang w:val="en-US" w:eastAsia="en-US" w:bidi="ar-SA"/>
        </w:rPr>
        <w:t>年，农业供给侧机构性改革深入推进，</w:t>
      </w:r>
    </w:p>
    <w:p>
      <w:pPr>
        <w:framePr w:w="9216" w:x="1800" w:y="3199"/>
        <w:widowControl w:val="0"/>
        <w:autoSpaceDE w:val="0"/>
        <w:autoSpaceDN w:val="0"/>
        <w:spacing w:before="257"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2"/>
          <w:sz w:val="21"/>
          <w:szCs w:val="22"/>
          <w:lang w:val="en-US" w:eastAsia="en-US" w:bidi="ar-SA"/>
        </w:rPr>
        <w:t>粮食播种面积保持稳定、产量达到</w:t>
      </w:r>
      <w:r>
        <w:rPr>
          <w:rFonts w:eastAsiaTheme="minorEastAsia" w:hAnsiTheme="minorHAnsi" w:cstheme="minorBidi"/>
          <w:color w:val="000000"/>
          <w:spacing w:val="4"/>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1.3</w:t>
      </w:r>
      <w:r>
        <w:rPr>
          <w:rFonts w:ascii="SimSun" w:hAnsi="SimSun" w:eastAsiaTheme="minorEastAsia" w:cs="SimSun"/>
          <w:color w:val="000000"/>
          <w:spacing w:val="-6"/>
          <w:sz w:val="21"/>
          <w:szCs w:val="22"/>
          <w:lang w:val="en-US" w:eastAsia="en-US" w:bidi="ar-SA"/>
        </w:rPr>
        <w:t>万亿斤以上。”想要农产品质量和食品安全进一步提高，农</w:t>
      </w:r>
    </w:p>
    <w:p>
      <w:pPr>
        <w:framePr w:w="9216" w:x="1800" w:y="3199"/>
        <w:widowControl w:val="0"/>
        <w:autoSpaceDE w:val="0"/>
        <w:autoSpaceDN w:val="0"/>
        <w:spacing w:before="257"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药是农业生产中必不可少的生产资料，有病虫害的“克星”和庄稼的保护神之称。保持粮食播种</w:t>
      </w:r>
    </w:p>
    <w:p>
      <w:pPr>
        <w:framePr w:w="9216" w:x="1800" w:y="3199"/>
        <w:widowControl w:val="0"/>
        <w:autoSpaceDE w:val="0"/>
        <w:autoSpaceDN w:val="0"/>
        <w:spacing w:before="257"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面积和产量的稳定为农药行业与市场稳定发展夯实了根基。</w:t>
      </w:r>
    </w:p>
    <w:p>
      <w:pPr>
        <w:framePr w:w="9110" w:x="1800" w:y="5228"/>
        <w:widowControl w:val="0"/>
        <w:autoSpaceDE w:val="0"/>
        <w:autoSpaceDN w:val="0"/>
        <w:spacing w:line="211" w:lineRule="exact"/>
        <w:ind w:left="420"/>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按照《</w:t>
      </w:r>
      <w:r>
        <w:rPr>
          <w:rFonts w:ascii="SimSun" w:eastAsiaTheme="minorEastAsia" w:hAnsiTheme="minorHAnsi" w:cstheme="minorBidi"/>
          <w:color w:val="000000"/>
          <w:sz w:val="21"/>
          <w:szCs w:val="22"/>
          <w:lang w:val="en-US" w:eastAsia="en-US" w:bidi="ar-SA"/>
        </w:rPr>
        <w:t>2020</w:t>
      </w:r>
      <w:r>
        <w:rPr>
          <w:rFonts w:ascii="SimSun" w:eastAsiaTheme="minorEastAsia" w:hAnsiTheme="minorHAnsi" w:cstheme="minorBidi"/>
          <w:color w:val="000000"/>
          <w:spacing w:val="-1"/>
          <w:sz w:val="21"/>
          <w:szCs w:val="22"/>
          <w:lang w:val="en-US" w:eastAsia="en-US" w:bidi="ar-SA"/>
        </w:rPr>
        <w:t xml:space="preserve"> </w:t>
      </w:r>
      <w:r>
        <w:rPr>
          <w:rFonts w:ascii="SimSun" w:hAnsi="SimSun" w:eastAsiaTheme="minorEastAsia" w:cs="SimSun"/>
          <w:color w:val="000000"/>
          <w:spacing w:val="-3"/>
          <w:sz w:val="21"/>
          <w:szCs w:val="22"/>
          <w:lang w:val="en-US" w:eastAsia="en-US" w:bidi="ar-SA"/>
        </w:rPr>
        <w:t>年农药管理工作要点》，农药产业在顶层设计上要求企业必须在生产环节严格准</w:t>
      </w:r>
    </w:p>
    <w:p>
      <w:pPr>
        <w:framePr w:w="9110" w:x="1800" w:y="5228"/>
        <w:widowControl w:val="0"/>
        <w:autoSpaceDE w:val="0"/>
        <w:autoSpaceDN w:val="0"/>
        <w:spacing w:before="257"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入条件，优化生产布局，控制新增企业数量，督促相关农药企业按照规定进入化工园区或工业园</w:t>
      </w:r>
    </w:p>
    <w:p>
      <w:pPr>
        <w:framePr w:w="9110" w:x="1800" w:y="5228"/>
        <w:widowControl w:val="0"/>
        <w:autoSpaceDE w:val="0"/>
        <w:autoSpaceDN w:val="0"/>
        <w:spacing w:before="257"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区，鼓励发展高效低毒绿色农药，淘汰高污染、高耗能的落后产能，引导农药产业高质量发展，</w:t>
      </w:r>
    </w:p>
    <w:p>
      <w:pPr>
        <w:framePr w:w="9110" w:x="1800" w:y="5228"/>
        <w:widowControl w:val="0"/>
        <w:autoSpaceDE w:val="0"/>
        <w:autoSpaceDN w:val="0"/>
        <w:spacing w:before="257"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鼓励企业兼并重组，退出一批竞争力弱的小企业。</w:t>
      </w:r>
    </w:p>
    <w:p>
      <w:pPr>
        <w:framePr w:w="9110" w:x="1800" w:y="7255"/>
        <w:widowControl w:val="0"/>
        <w:autoSpaceDE w:val="0"/>
        <w:autoSpaceDN w:val="0"/>
        <w:spacing w:line="211" w:lineRule="exact"/>
        <w:ind w:left="420"/>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伴随国家“供给侧改革”政策引导、新《农药管理条例》实施、行业竞争加剧以及资源、环</w:t>
      </w:r>
    </w:p>
    <w:p>
      <w:pPr>
        <w:framePr w:w="9110" w:x="1800" w:y="7255"/>
        <w:widowControl w:val="0"/>
        <w:autoSpaceDE w:val="0"/>
        <w:autoSpaceDN w:val="0"/>
        <w:spacing w:before="257"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境约束机制强化等多因素叠加影响，我国农药行业将继续向集约化、规模化方向发展，产品结构</w:t>
      </w:r>
    </w:p>
    <w:p>
      <w:pPr>
        <w:framePr w:w="9110" w:x="1800" w:y="7255"/>
        <w:widowControl w:val="0"/>
        <w:autoSpaceDE w:val="0"/>
        <w:autoSpaceDN w:val="0"/>
        <w:spacing w:before="257"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将不断优化。未来我国农化行业整合速度加快，农药行业分工和协作将更加合理，一批具有核心</w:t>
      </w:r>
    </w:p>
    <w:p>
      <w:pPr>
        <w:framePr w:w="9110" w:x="1800" w:y="7255"/>
        <w:widowControl w:val="0"/>
        <w:autoSpaceDE w:val="0"/>
        <w:autoSpaceDN w:val="0"/>
        <w:spacing w:before="257"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竞争力的企业将成为我国农药行业的主导力量，有效提升我国农药企业在全球市场中的竞争力。</w:t>
      </w:r>
    </w:p>
    <w:p>
      <w:pPr>
        <w:framePr w:w="9110" w:x="1800" w:y="9284"/>
        <w:widowControl w:val="0"/>
        <w:autoSpaceDE w:val="0"/>
        <w:autoSpaceDN w:val="0"/>
        <w:spacing w:line="211" w:lineRule="exact"/>
        <w:ind w:left="420"/>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随着我国农药行业集中度的提升，农药企业研发投入将进一步提高，自主创新体系将逐步完</w:t>
      </w:r>
    </w:p>
    <w:p>
      <w:pPr>
        <w:framePr w:w="9110" w:x="1800" w:y="9284"/>
        <w:widowControl w:val="0"/>
        <w:autoSpaceDE w:val="0"/>
        <w:autoSpaceDN w:val="0"/>
        <w:spacing w:before="257"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善，使我国农药行业向新药创制和生产中高端产品方向转移，切实增加农药产品的科技含量和产</w:t>
      </w:r>
    </w:p>
    <w:p>
      <w:pPr>
        <w:framePr w:w="9110" w:x="1800" w:y="9284"/>
        <w:widowControl w:val="0"/>
        <w:autoSpaceDE w:val="0"/>
        <w:autoSpaceDN w:val="0"/>
        <w:spacing w:before="257"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品附加值，驱动我国农药行业技术进步，提升行业竞争力。</w:t>
      </w:r>
    </w:p>
    <w:p>
      <w:pPr>
        <w:framePr w:w="346" w:x="1800" w:y="10844"/>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3</w:t>
      </w:r>
    </w:p>
    <w:p>
      <w:pPr>
        <w:framePr w:w="2986" w:x="2220" w:y="10844"/>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公司主要会计数据和财务指标</w:t>
      </w:r>
    </w:p>
    <w:p>
      <w:pPr>
        <w:framePr w:w="3835" w:x="1800" w:y="11302"/>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3.1</w:t>
      </w:r>
      <w:r>
        <w:rPr>
          <w:rFonts w:ascii="SimSun" w:eastAsiaTheme="minorEastAsia" w:hAnsiTheme="minorHAnsi" w:cstheme="minorBidi"/>
          <w:color w:val="000000"/>
          <w:spacing w:val="-2"/>
          <w:sz w:val="21"/>
          <w:szCs w:val="22"/>
          <w:lang w:val="en-US" w:eastAsia="en-US" w:bidi="ar-SA"/>
        </w:rPr>
        <w:t xml:space="preserve"> </w:t>
      </w:r>
      <w:r>
        <w:rPr>
          <w:rFonts w:ascii="SimSun" w:hAnsi="SimSun" w:eastAsiaTheme="minorEastAsia" w:cs="SimSun"/>
          <w:color w:val="000000"/>
          <w:sz w:val="21"/>
          <w:szCs w:val="22"/>
          <w:lang w:val="en-US" w:eastAsia="en-US" w:bidi="ar-SA"/>
        </w:rPr>
        <w:t>近</w:t>
      </w:r>
      <w:r>
        <w:rPr>
          <w:rFonts w:eastAsiaTheme="minorEastAsia" w:hAnsiTheme="minorHAnsi" w:cstheme="minorBidi"/>
          <w:color w:val="000000"/>
          <w:spacing w:val="2"/>
          <w:sz w:val="21"/>
          <w:szCs w:val="22"/>
          <w:lang w:val="en-US" w:eastAsia="en-US" w:bidi="ar-SA"/>
        </w:rPr>
        <w:t xml:space="preserve"> </w:t>
      </w:r>
      <w:r>
        <w:rPr>
          <w:rFonts w:ascii="Arial" w:eastAsiaTheme="minorEastAsia" w:hAnsiTheme="minorHAnsi" w:cstheme="minorBidi"/>
          <w:b/>
          <w:color w:val="000000"/>
          <w:sz w:val="21"/>
          <w:szCs w:val="22"/>
          <w:lang w:val="en-US" w:eastAsia="en-US" w:bidi="ar-SA"/>
        </w:rPr>
        <w:t>3</w:t>
      </w:r>
      <w:r>
        <w:rPr>
          <w:rFonts w:ascii="Arial" w:eastAsiaTheme="minorEastAsia" w:hAnsiTheme="minorHAnsi" w:cstheme="minorBidi"/>
          <w:b/>
          <w:color w:val="000000"/>
          <w:spacing w:val="-7"/>
          <w:sz w:val="21"/>
          <w:szCs w:val="22"/>
          <w:lang w:val="en-US" w:eastAsia="en-US" w:bidi="ar-SA"/>
        </w:rPr>
        <w:t xml:space="preserve"> </w:t>
      </w:r>
      <w:r>
        <w:rPr>
          <w:rFonts w:ascii="SimSun" w:hAnsi="SimSun" w:eastAsiaTheme="minorEastAsia" w:cs="SimSun"/>
          <w:color w:val="000000"/>
          <w:spacing w:val="1"/>
          <w:sz w:val="21"/>
          <w:szCs w:val="22"/>
          <w:lang w:val="en-US" w:eastAsia="en-US" w:bidi="ar-SA"/>
        </w:rPr>
        <w:t>年的主要会计数据和财务指标</w:t>
      </w:r>
    </w:p>
    <w:p>
      <w:pPr>
        <w:framePr w:w="3080" w:x="7797" w:y="11703"/>
        <w:widowControl w:val="0"/>
        <w:autoSpaceDE w:val="0"/>
        <w:autoSpaceDN w:val="0"/>
        <w:spacing w:line="211" w:lineRule="exact"/>
        <w:ind w:left="526"/>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单位：元</w:t>
      </w:r>
      <w:r>
        <w:rPr>
          <w:rFonts w:eastAsiaTheme="minorEastAsia" w:hAnsiTheme="minorHAnsi" w:cstheme="minorBidi"/>
          <w:color w:val="000000"/>
          <w:spacing w:val="157"/>
          <w:sz w:val="21"/>
          <w:szCs w:val="22"/>
          <w:lang w:val="en-US" w:eastAsia="en-US" w:bidi="ar-SA"/>
        </w:rPr>
        <w:t xml:space="preserve"> </w:t>
      </w:r>
      <w:r>
        <w:rPr>
          <w:rFonts w:ascii="SimSun" w:hAnsi="SimSun" w:eastAsiaTheme="minorEastAsia" w:cs="SimSun"/>
          <w:color w:val="000000"/>
          <w:sz w:val="21"/>
          <w:szCs w:val="22"/>
          <w:lang w:val="en-US" w:eastAsia="en-US" w:bidi="ar-SA"/>
        </w:rPr>
        <w:t>币种：人民币</w:t>
      </w:r>
    </w:p>
    <w:p>
      <w:pPr>
        <w:framePr w:w="3080" w:x="7797" w:y="11703"/>
        <w:widowControl w:val="0"/>
        <w:autoSpaceDE w:val="0"/>
        <w:autoSpaceDN w:val="0"/>
        <w:spacing w:before="89"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本年比上年</w:t>
      </w:r>
    </w:p>
    <w:p>
      <w:pPr>
        <w:framePr w:w="3080" w:x="7797" w:y="11703"/>
        <w:widowControl w:val="0"/>
        <w:autoSpaceDE w:val="0"/>
        <w:autoSpaceDN w:val="0"/>
        <w:spacing w:before="61" w:line="211" w:lineRule="exact"/>
        <w:ind w:left="158"/>
        <w:rPr>
          <w:rFonts w:ascii="SimSun"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增减</w:t>
      </w:r>
      <w:r>
        <w:rPr>
          <w:rFonts w:ascii="SimSun" w:eastAsiaTheme="minorEastAsia" w:hAnsiTheme="minorHAnsi" w:cstheme="minorBidi"/>
          <w:color w:val="000000"/>
          <w:spacing w:val="-1"/>
          <w:sz w:val="21"/>
          <w:szCs w:val="22"/>
          <w:lang w:val="en-US" w:eastAsia="en-US" w:bidi="ar-SA"/>
        </w:rPr>
        <w:t>(%)</w:t>
      </w:r>
    </w:p>
    <w:p>
      <w:pPr>
        <w:framePr w:w="874" w:x="4434" w:y="12140"/>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2020</w:t>
      </w:r>
      <w:r>
        <w:rPr>
          <w:rFonts w:ascii="SimSun" w:hAnsi="SimSun" w:eastAsiaTheme="minorEastAsia" w:cs="SimSun"/>
          <w:color w:val="000000"/>
          <w:sz w:val="21"/>
          <w:szCs w:val="22"/>
          <w:lang w:val="en-US" w:eastAsia="en-US" w:bidi="ar-SA"/>
        </w:rPr>
        <w:t>年</w:t>
      </w:r>
    </w:p>
    <w:p>
      <w:pPr>
        <w:framePr w:w="874" w:x="6349" w:y="12140"/>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2019</w:t>
      </w:r>
      <w:r>
        <w:rPr>
          <w:rFonts w:ascii="SimSun" w:hAnsi="SimSun" w:eastAsiaTheme="minorEastAsia" w:cs="SimSun"/>
          <w:color w:val="000000"/>
          <w:sz w:val="21"/>
          <w:szCs w:val="22"/>
          <w:lang w:val="en-US" w:eastAsia="en-US" w:bidi="ar-SA"/>
        </w:rPr>
        <w:t>年</w:t>
      </w:r>
    </w:p>
    <w:p>
      <w:pPr>
        <w:framePr w:w="874" w:x="9708" w:y="12140"/>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2018</w:t>
      </w:r>
      <w:r>
        <w:rPr>
          <w:rFonts w:ascii="SimSun" w:hAnsi="SimSun" w:eastAsiaTheme="minorEastAsia" w:cs="SimSun"/>
          <w:color w:val="000000"/>
          <w:sz w:val="21"/>
          <w:szCs w:val="22"/>
          <w:lang w:val="en-US" w:eastAsia="en-US" w:bidi="ar-SA"/>
        </w:rPr>
        <w:t>年</w:t>
      </w:r>
    </w:p>
    <w:p>
      <w:pPr>
        <w:framePr w:w="874" w:x="914" w:y="12558"/>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总资产</w:t>
      </w:r>
    </w:p>
    <w:p>
      <w:pPr>
        <w:framePr w:w="3821" w:x="3927" w:y="12558"/>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2,335,002,206.40</w:t>
      </w:r>
      <w:r>
        <w:rPr>
          <w:rFonts w:ascii="SimSun" w:eastAsiaTheme="minorEastAsia" w:hAnsiTheme="minorHAnsi" w:cstheme="minorBidi"/>
          <w:color w:val="000000"/>
          <w:spacing w:val="111"/>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2,304,145,473.28</w:t>
      </w:r>
    </w:p>
    <w:p>
      <w:pPr>
        <w:framePr w:w="3821" w:x="3927" w:y="12558"/>
        <w:widowControl w:val="0"/>
        <w:autoSpaceDE w:val="0"/>
        <w:autoSpaceDN w:val="0"/>
        <w:spacing w:before="72"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1,895,595,666.25</w:t>
      </w:r>
      <w:r>
        <w:rPr>
          <w:rFonts w:ascii="SimSun" w:eastAsiaTheme="minorEastAsia" w:hAnsiTheme="minorHAnsi" w:cstheme="minorBidi"/>
          <w:color w:val="000000"/>
          <w:spacing w:val="111"/>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1,574,570,054.14</w:t>
      </w:r>
    </w:p>
    <w:p>
      <w:pPr>
        <w:framePr w:w="2754" w:x="8397" w:y="12558"/>
        <w:widowControl w:val="0"/>
        <w:autoSpaceDE w:val="0"/>
        <w:autoSpaceDN w:val="0"/>
        <w:spacing w:line="211" w:lineRule="exact"/>
        <w:ind w:left="106"/>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1.34</w:t>
      </w:r>
      <w:r>
        <w:rPr>
          <w:rFonts w:ascii="SimSun" w:eastAsiaTheme="minorEastAsia" w:hAnsiTheme="minorHAnsi" w:cstheme="minorBidi"/>
          <w:color w:val="000000"/>
          <w:spacing w:val="198"/>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1,729,926,879.72</w:t>
      </w:r>
    </w:p>
    <w:p>
      <w:pPr>
        <w:framePr w:w="2754" w:x="8397" w:y="12558"/>
        <w:widowControl w:val="0"/>
        <w:autoSpaceDE w:val="0"/>
        <w:autoSpaceDN w:val="0"/>
        <w:spacing w:before="72"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20.39</w:t>
      </w:r>
      <w:r>
        <w:rPr>
          <w:rFonts w:ascii="SimSun" w:eastAsiaTheme="minorEastAsia" w:hAnsiTheme="minorHAnsi" w:cstheme="minorBidi"/>
          <w:color w:val="000000"/>
          <w:spacing w:val="198"/>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1,635,892,405.79</w:t>
      </w:r>
    </w:p>
    <w:p>
      <w:pPr>
        <w:framePr w:w="1085" w:x="914" w:y="12841"/>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营业收入</w:t>
      </w:r>
    </w:p>
    <w:p>
      <w:pPr>
        <w:framePr w:w="3002" w:x="914" w:y="13122"/>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归属于上市公司股东的净利润</w:t>
      </w:r>
    </w:p>
    <w:p>
      <w:pPr>
        <w:framePr w:w="3002" w:x="914" w:y="13122"/>
        <w:widowControl w:val="0"/>
        <w:autoSpaceDE w:val="0"/>
        <w:autoSpaceDN w:val="0"/>
        <w:spacing w:before="72"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3"/>
          <w:sz w:val="21"/>
          <w:szCs w:val="22"/>
          <w:lang w:val="en-US" w:eastAsia="en-US" w:bidi="ar-SA"/>
        </w:rPr>
        <w:t>归属于上市公司股东的扣除非</w:t>
      </w:r>
    </w:p>
    <w:p>
      <w:pPr>
        <w:framePr w:w="3002" w:x="914" w:y="13122"/>
        <w:widowControl w:val="0"/>
        <w:autoSpaceDE w:val="0"/>
        <w:autoSpaceDN w:val="0"/>
        <w:spacing w:before="60"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经常性损益的净利润</w:t>
      </w:r>
    </w:p>
    <w:p>
      <w:pPr>
        <w:framePr w:w="1718" w:x="4136" w:y="13122"/>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176,034,335.10</w:t>
      </w:r>
    </w:p>
    <w:p>
      <w:pPr>
        <w:framePr w:w="1718" w:x="4136" w:y="13122"/>
        <w:widowControl w:val="0"/>
        <w:autoSpaceDE w:val="0"/>
        <w:autoSpaceDN w:val="0"/>
        <w:spacing w:before="72"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164,940,201.50</w:t>
      </w:r>
    </w:p>
    <w:p>
      <w:pPr>
        <w:framePr w:w="1718" w:x="6035" w:y="13122"/>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204,618,341.01</w:t>
      </w:r>
    </w:p>
    <w:p>
      <w:pPr>
        <w:framePr w:w="1718" w:x="6035" w:y="13122"/>
        <w:widowControl w:val="0"/>
        <w:autoSpaceDE w:val="0"/>
        <w:autoSpaceDN w:val="0"/>
        <w:spacing w:before="72"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212,593,825.35</w:t>
      </w:r>
    </w:p>
    <w:p>
      <w:pPr>
        <w:framePr w:w="874" w:x="8291" w:y="13122"/>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-13.97</w:t>
      </w:r>
    </w:p>
    <w:p>
      <w:pPr>
        <w:framePr w:w="874" w:x="8291" w:y="13122"/>
        <w:widowControl w:val="0"/>
        <w:autoSpaceDE w:val="0"/>
        <w:autoSpaceDN w:val="0"/>
        <w:spacing w:before="72"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-22.42</w:t>
      </w:r>
    </w:p>
    <w:p>
      <w:pPr>
        <w:framePr w:w="1718" w:x="9436" w:y="13122"/>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251,047,737.55</w:t>
      </w:r>
    </w:p>
    <w:p>
      <w:pPr>
        <w:framePr w:w="1718" w:x="9436" w:y="13122"/>
        <w:widowControl w:val="0"/>
        <w:autoSpaceDE w:val="0"/>
        <w:autoSpaceDN w:val="0"/>
        <w:spacing w:before="72"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239,207,285.88</w:t>
      </w:r>
    </w:p>
    <w:p>
      <w:pPr>
        <w:framePr w:w="6834" w:x="914" w:y="13960"/>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归属于上市公司股东的净资产</w:t>
      </w:r>
      <w:r>
        <w:rPr>
          <w:rFonts w:eastAsiaTheme="minorEastAsia" w:hAnsiTheme="minorHAnsi" w:cstheme="minorBidi"/>
          <w:color w:val="000000"/>
          <w:spacing w:val="227"/>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1,703,781,974.56</w:t>
      </w:r>
      <w:r>
        <w:rPr>
          <w:rFonts w:ascii="SimSun" w:eastAsiaTheme="minorEastAsia" w:hAnsiTheme="minorHAnsi" w:cstheme="minorBidi"/>
          <w:color w:val="000000"/>
          <w:spacing w:val="111"/>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1,557,176,380.70</w:t>
      </w:r>
    </w:p>
    <w:p>
      <w:pPr>
        <w:framePr w:w="2648" w:x="8502" w:y="13960"/>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9.41</w:t>
      </w:r>
      <w:r>
        <w:rPr>
          <w:rFonts w:ascii="SimSun" w:eastAsiaTheme="minorEastAsia" w:hAnsiTheme="minorHAnsi" w:cstheme="minorBidi"/>
          <w:color w:val="000000"/>
          <w:spacing w:val="198"/>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1,357,256,285.96</w:t>
      </w:r>
    </w:p>
    <w:p>
      <w:pPr>
        <w:framePr w:w="2986" w:x="914" w:y="14243"/>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经营活动产生的现金流量净额</w:t>
      </w:r>
    </w:p>
    <w:p>
      <w:pPr>
        <w:framePr w:w="2986" w:x="914" w:y="14243"/>
        <w:widowControl w:val="0"/>
        <w:autoSpaceDE w:val="0"/>
        <w:autoSpaceDN w:val="0"/>
        <w:spacing w:before="70"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基本每股收益（元／股）</w:t>
      </w:r>
    </w:p>
    <w:p>
      <w:pPr>
        <w:framePr w:w="2986" w:x="914" w:y="14243"/>
        <w:widowControl w:val="0"/>
        <w:autoSpaceDE w:val="0"/>
        <w:autoSpaceDN w:val="0"/>
        <w:spacing w:before="72"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稀释每股收益（元／股）</w:t>
      </w:r>
    </w:p>
    <w:p>
      <w:pPr>
        <w:framePr w:w="2986" w:x="914" w:y="14243"/>
        <w:widowControl w:val="0"/>
        <w:autoSpaceDE w:val="0"/>
        <w:autoSpaceDN w:val="0"/>
        <w:spacing w:before="72"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加权平均净资产收益率（</w:t>
      </w:r>
      <w:r>
        <w:rPr>
          <w:rFonts w:ascii="SimSun" w:eastAsiaTheme="minorEastAsia" w:hAnsiTheme="minorHAnsi" w:cstheme="minorBidi"/>
          <w:color w:val="000000"/>
          <w:spacing w:val="-2"/>
          <w:sz w:val="21"/>
          <w:szCs w:val="22"/>
          <w:lang w:val="en-US" w:eastAsia="en-US" w:bidi="ar-SA"/>
        </w:rPr>
        <w:t>%</w:t>
      </w:r>
      <w:r>
        <w:rPr>
          <w:rFonts w:ascii="SimSun" w:hAnsi="SimSun" w:eastAsiaTheme="minorEastAsia" w:cs="SimSun"/>
          <w:color w:val="000000"/>
          <w:sz w:val="21"/>
          <w:szCs w:val="22"/>
          <w:lang w:val="en-US" w:eastAsia="en-US" w:bidi="ar-SA"/>
        </w:rPr>
        <w:t>）</w:t>
      </w:r>
    </w:p>
    <w:p>
      <w:pPr>
        <w:framePr w:w="1718" w:x="4136" w:y="14243"/>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361,385,546.72</w:t>
      </w:r>
    </w:p>
    <w:p>
      <w:pPr>
        <w:framePr w:w="1718" w:x="4136" w:y="14243"/>
        <w:widowControl w:val="0"/>
        <w:autoSpaceDE w:val="0"/>
        <w:autoSpaceDN w:val="0"/>
        <w:spacing w:before="70" w:line="211" w:lineRule="exact"/>
        <w:ind w:left="1051"/>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1.12</w:t>
      </w:r>
    </w:p>
    <w:p>
      <w:pPr>
        <w:framePr w:w="1718" w:x="6035" w:y="14243"/>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399,562,923.76</w:t>
      </w:r>
    </w:p>
    <w:p>
      <w:pPr>
        <w:framePr w:w="874" w:x="8291" w:y="14243"/>
        <w:widowControl w:val="0"/>
        <w:autoSpaceDE w:val="0"/>
        <w:autoSpaceDN w:val="0"/>
        <w:spacing w:line="211" w:lineRule="exact"/>
        <w:ind w:left="106"/>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-9.55</w:t>
      </w:r>
    </w:p>
    <w:p>
      <w:pPr>
        <w:framePr w:w="874" w:x="8291" w:y="14243"/>
        <w:widowControl w:val="0"/>
        <w:autoSpaceDE w:val="0"/>
        <w:autoSpaceDN w:val="0"/>
        <w:spacing w:before="70"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-13.85</w:t>
      </w:r>
    </w:p>
    <w:p>
      <w:pPr>
        <w:framePr w:w="1718" w:x="9436" w:y="14243"/>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157,396,781.82</w:t>
      </w:r>
    </w:p>
    <w:p>
      <w:pPr>
        <w:framePr w:w="1718" w:x="9436" w:y="14243"/>
        <w:widowControl w:val="0"/>
        <w:autoSpaceDE w:val="0"/>
        <w:autoSpaceDN w:val="0"/>
        <w:spacing w:before="70" w:line="211" w:lineRule="exact"/>
        <w:ind w:left="1051"/>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2.24</w:t>
      </w:r>
    </w:p>
    <w:p>
      <w:pPr>
        <w:framePr w:w="662" w:x="7086" w:y="14524"/>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1.30</w:t>
      </w:r>
    </w:p>
    <w:p>
      <w:pPr>
        <w:framePr w:w="662" w:x="7086" w:y="14524"/>
        <w:widowControl w:val="0"/>
        <w:autoSpaceDE w:val="0"/>
        <w:autoSpaceDN w:val="0"/>
        <w:spacing w:before="72"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1.30</w:t>
      </w:r>
    </w:p>
    <w:p>
      <w:pPr>
        <w:framePr w:w="662" w:x="7086" w:y="14524"/>
        <w:widowControl w:val="0"/>
        <w:autoSpaceDE w:val="0"/>
        <w:autoSpaceDN w:val="0"/>
        <w:spacing w:before="72"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8.92</w:t>
      </w:r>
    </w:p>
    <w:p>
      <w:pPr>
        <w:framePr w:w="662" w:x="5187" w:y="14807"/>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1.12</w:t>
      </w:r>
    </w:p>
    <w:p>
      <w:pPr>
        <w:framePr w:w="874" w:x="8291" w:y="14807"/>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-13.85</w:t>
      </w:r>
    </w:p>
    <w:p>
      <w:pPr>
        <w:framePr w:w="662" w:x="10488" w:y="14807"/>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2.24</w:t>
      </w:r>
    </w:p>
    <w:p>
      <w:pPr>
        <w:framePr w:w="768" w:x="5082" w:y="15090"/>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10.81</w:t>
      </w:r>
    </w:p>
    <w:p>
      <w:pPr>
        <w:framePr w:w="1296" w:x="7871" w:y="15090"/>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增加</w:t>
      </w:r>
      <w:r>
        <w:rPr>
          <w:rFonts w:ascii="SimSun" w:eastAsiaTheme="minorEastAsia" w:hAnsiTheme="minorHAnsi" w:cstheme="minorBidi"/>
          <w:color w:val="000000"/>
          <w:sz w:val="21"/>
          <w:szCs w:val="22"/>
          <w:lang w:val="en-US" w:eastAsia="en-US" w:bidi="ar-SA"/>
        </w:rPr>
        <w:t>1.89</w:t>
      </w:r>
      <w:r>
        <w:rPr>
          <w:rFonts w:ascii="SimSun" w:hAnsi="SimSun" w:eastAsiaTheme="minorEastAsia" w:cs="SimSun"/>
          <w:color w:val="000000"/>
          <w:sz w:val="21"/>
          <w:szCs w:val="22"/>
          <w:lang w:val="en-US" w:eastAsia="en-US" w:bidi="ar-SA"/>
        </w:rPr>
        <w:t>个</w:t>
      </w:r>
    </w:p>
    <w:p>
      <w:pPr>
        <w:framePr w:w="768" w:x="10382" w:y="15090"/>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20.28</w:t>
      </w: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r>
        <w:rPr>
          <w:noProof/>
        </w:rPr>
        <w:pict>
          <v:shape id="_x0000_s1027" type="#_x0000_t75" style="width:512.95pt;height:170.85pt;margin-top:597.2pt;margin-left:39.1pt;mso-position-horizontal-relative:page;mso-position-vertical-relative:page;position:absolute;z-index:-251657216">
            <v:imagedata r:id="rId6" o:title=""/>
          </v:shape>
        </w:pict>
      </w:r>
    </w:p>
    <w:p>
      <w:pPr>
        <w:spacing w:line="0" w:lineRule="atLeast"/>
        <w:rPr>
          <w:rFonts w:ascii="Arial" w:eastAsiaTheme="minorEastAsia" w:hAnsiTheme="minorHAnsi" w:cstheme="minorBidi"/>
          <w:color w:val="FF0000"/>
          <w:sz w:val="2"/>
          <w:szCs w:val="22"/>
          <w:lang w:val="en-US" w:eastAsia="en-US" w:bidi="ar-SA"/>
        </w:rPr>
      </w:pPr>
      <w:bookmarkStart w:id="4" w:name="br1_3"/>
      <w:bookmarkEnd w:id="4"/>
      <w:r>
        <w:rPr>
          <w:rFonts w:ascii="Arial" w:eastAsiaTheme="minorEastAsia" w:hAnsiTheme="minorHAnsi" w:cstheme="minorBidi"/>
          <w:color w:val="FF0000"/>
          <w:sz w:val="2"/>
          <w:szCs w:val="22"/>
          <w:lang w:val="en-US" w:eastAsia="en-US" w:bidi="ar-SA"/>
        </w:rPr>
        <w:t xml:space="preserve"> </w:t>
      </w:r>
    </w:p>
    <w:p>
      <w:pPr>
        <w:framePr w:w="874" w:x="8289" w:y="1550"/>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百分点</w:t>
      </w:r>
    </w:p>
    <w:p>
      <w:pPr>
        <w:framePr w:w="3401" w:x="1800" w:y="2203"/>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3.2</w:t>
      </w:r>
      <w:r>
        <w:rPr>
          <w:rFonts w:ascii="SimSun" w:eastAsiaTheme="minorEastAsia" w:hAnsiTheme="minorHAnsi" w:cstheme="minorBidi"/>
          <w:color w:val="000000"/>
          <w:spacing w:val="-2"/>
          <w:sz w:val="21"/>
          <w:szCs w:val="22"/>
          <w:lang w:val="en-US" w:eastAsia="en-US" w:bidi="ar-SA"/>
        </w:rPr>
        <w:t xml:space="preserve"> </w:t>
      </w:r>
      <w:r>
        <w:rPr>
          <w:rFonts w:ascii="SimSun" w:hAnsi="SimSun" w:eastAsiaTheme="minorEastAsia" w:cs="SimSun"/>
          <w:color w:val="000000"/>
          <w:spacing w:val="1"/>
          <w:sz w:val="21"/>
          <w:szCs w:val="22"/>
          <w:lang w:val="en-US" w:eastAsia="en-US" w:bidi="ar-SA"/>
        </w:rPr>
        <w:t>报告期分季度的主要会计数据</w:t>
      </w:r>
    </w:p>
    <w:p>
      <w:pPr>
        <w:framePr w:w="2554" w:x="8322" w:y="2594"/>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单位：元</w:t>
      </w:r>
      <w:r>
        <w:rPr>
          <w:rFonts w:eastAsiaTheme="minorEastAsia" w:hAnsiTheme="minorHAnsi" w:cstheme="minorBidi"/>
          <w:color w:val="000000"/>
          <w:spacing w:val="157"/>
          <w:sz w:val="21"/>
          <w:szCs w:val="22"/>
          <w:lang w:val="en-US" w:eastAsia="en-US" w:bidi="ar-SA"/>
        </w:rPr>
        <w:t xml:space="preserve"> </w:t>
      </w:r>
      <w:r>
        <w:rPr>
          <w:rFonts w:ascii="SimSun" w:hAnsi="SimSun" w:eastAsiaTheme="minorEastAsia" w:cs="SimSun"/>
          <w:color w:val="000000"/>
          <w:sz w:val="21"/>
          <w:szCs w:val="22"/>
          <w:lang w:val="en-US" w:eastAsia="en-US" w:bidi="ar-SA"/>
        </w:rPr>
        <w:t>币种：人民币</w:t>
      </w:r>
    </w:p>
    <w:p>
      <w:pPr>
        <w:framePr w:w="1411" w:x="4335" w:y="2916"/>
        <w:widowControl w:val="0"/>
        <w:autoSpaceDE w:val="0"/>
        <w:autoSpaceDN w:val="0"/>
        <w:spacing w:line="211" w:lineRule="exact"/>
        <w:ind w:left="163"/>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第一季度</w:t>
      </w:r>
    </w:p>
    <w:p>
      <w:pPr>
        <w:framePr w:w="1411" w:x="4335" w:y="2916"/>
        <w:widowControl w:val="0"/>
        <w:autoSpaceDE w:val="0"/>
        <w:autoSpaceDN w:val="0"/>
        <w:spacing w:before="81" w:line="258"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w:t>
      </w:r>
      <w:r>
        <w:rPr>
          <w:rFonts w:ascii="Calibri" w:eastAsiaTheme="minorEastAsia" w:hAnsiTheme="minorHAnsi" w:cstheme="minorBidi"/>
          <w:color w:val="000000"/>
          <w:sz w:val="21"/>
          <w:szCs w:val="22"/>
          <w:lang w:val="en-US" w:eastAsia="en-US" w:bidi="ar-SA"/>
        </w:rPr>
        <w:t>1-3</w:t>
      </w:r>
      <w:r>
        <w:rPr>
          <w:rFonts w:ascii="Calibri" w:eastAsiaTheme="minorEastAsia" w:hAnsiTheme="minorHAnsi" w:cstheme="minorBidi"/>
          <w:color w:val="000000"/>
          <w:spacing w:val="5"/>
          <w:sz w:val="21"/>
          <w:szCs w:val="22"/>
          <w:lang w:val="en-US" w:eastAsia="en-US" w:bidi="ar-SA"/>
        </w:rPr>
        <w:t xml:space="preserve"> </w:t>
      </w:r>
      <w:r>
        <w:rPr>
          <w:rFonts w:ascii="SimSun" w:hAnsi="SimSun" w:eastAsiaTheme="minorEastAsia" w:cs="SimSun"/>
          <w:color w:val="000000"/>
          <w:sz w:val="21"/>
          <w:szCs w:val="22"/>
          <w:lang w:val="en-US" w:eastAsia="en-US" w:bidi="ar-SA"/>
        </w:rPr>
        <w:t>月份）</w:t>
      </w:r>
    </w:p>
    <w:p>
      <w:pPr>
        <w:framePr w:w="1085" w:x="6215" w:y="2916"/>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第二季度</w:t>
      </w:r>
    </w:p>
    <w:p>
      <w:pPr>
        <w:framePr w:w="1085" w:x="8058" w:y="2916"/>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第三季度</w:t>
      </w:r>
    </w:p>
    <w:p>
      <w:pPr>
        <w:framePr w:w="1085" w:x="10029" w:y="2916"/>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第四季度</w:t>
      </w:r>
    </w:p>
    <w:p>
      <w:pPr>
        <w:framePr w:w="1412" w:x="6051" w:y="3208"/>
        <w:widowControl w:val="0"/>
        <w:autoSpaceDE w:val="0"/>
        <w:autoSpaceDN w:val="0"/>
        <w:spacing w:line="258"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w:t>
      </w:r>
      <w:r>
        <w:rPr>
          <w:rFonts w:ascii="Calibri" w:eastAsiaTheme="minorEastAsia" w:hAnsiTheme="minorHAnsi" w:cstheme="minorBidi"/>
          <w:color w:val="000000"/>
          <w:sz w:val="21"/>
          <w:szCs w:val="22"/>
          <w:lang w:val="en-US" w:eastAsia="en-US" w:bidi="ar-SA"/>
        </w:rPr>
        <w:t>4-6</w:t>
      </w:r>
      <w:r>
        <w:rPr>
          <w:rFonts w:ascii="Calibri" w:eastAsiaTheme="minorEastAsia" w:hAnsiTheme="minorHAnsi" w:cstheme="minorBidi"/>
          <w:color w:val="000000"/>
          <w:spacing w:val="4"/>
          <w:sz w:val="21"/>
          <w:szCs w:val="22"/>
          <w:lang w:val="en-US" w:eastAsia="en-US" w:bidi="ar-SA"/>
        </w:rPr>
        <w:t xml:space="preserve"> </w:t>
      </w:r>
      <w:r>
        <w:rPr>
          <w:rFonts w:ascii="SimSun" w:hAnsi="SimSun" w:eastAsiaTheme="minorEastAsia" w:cs="SimSun"/>
          <w:color w:val="000000"/>
          <w:sz w:val="21"/>
          <w:szCs w:val="22"/>
          <w:lang w:val="en-US" w:eastAsia="en-US" w:bidi="ar-SA"/>
        </w:rPr>
        <w:t>月份）</w:t>
      </w:r>
    </w:p>
    <w:p>
      <w:pPr>
        <w:framePr w:w="1411" w:x="7895" w:y="3208"/>
        <w:widowControl w:val="0"/>
        <w:autoSpaceDE w:val="0"/>
        <w:autoSpaceDN w:val="0"/>
        <w:spacing w:line="258"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w:t>
      </w:r>
      <w:r>
        <w:rPr>
          <w:rFonts w:ascii="Calibri" w:eastAsiaTheme="minorEastAsia" w:hAnsiTheme="minorHAnsi" w:cstheme="minorBidi"/>
          <w:color w:val="000000"/>
          <w:sz w:val="21"/>
          <w:szCs w:val="22"/>
          <w:lang w:val="en-US" w:eastAsia="en-US" w:bidi="ar-SA"/>
        </w:rPr>
        <w:t>7-9</w:t>
      </w:r>
      <w:r>
        <w:rPr>
          <w:rFonts w:ascii="Calibri" w:eastAsiaTheme="minorEastAsia" w:hAnsiTheme="minorHAnsi" w:cstheme="minorBidi"/>
          <w:color w:val="000000"/>
          <w:spacing w:val="5"/>
          <w:sz w:val="21"/>
          <w:szCs w:val="22"/>
          <w:lang w:val="en-US" w:eastAsia="en-US" w:bidi="ar-SA"/>
        </w:rPr>
        <w:t xml:space="preserve"> </w:t>
      </w:r>
      <w:r>
        <w:rPr>
          <w:rFonts w:ascii="SimSun" w:hAnsi="SimSun" w:eastAsiaTheme="minorEastAsia" w:cs="SimSun"/>
          <w:color w:val="000000"/>
          <w:sz w:val="21"/>
          <w:szCs w:val="22"/>
          <w:lang w:val="en-US" w:eastAsia="en-US" w:bidi="ar-SA"/>
        </w:rPr>
        <w:t>月份）</w:t>
      </w:r>
    </w:p>
    <w:p>
      <w:pPr>
        <w:framePr w:w="1819" w:x="9758" w:y="3208"/>
        <w:widowControl w:val="0"/>
        <w:autoSpaceDE w:val="0"/>
        <w:autoSpaceDN w:val="0"/>
        <w:spacing w:line="258"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w:t>
      </w:r>
      <w:r>
        <w:rPr>
          <w:rFonts w:ascii="Calibri" w:eastAsiaTheme="minorEastAsia" w:hAnsiTheme="minorHAnsi" w:cstheme="minorBidi"/>
          <w:color w:val="000000"/>
          <w:sz w:val="21"/>
          <w:szCs w:val="22"/>
          <w:lang w:val="en-US" w:eastAsia="en-US" w:bidi="ar-SA"/>
        </w:rPr>
        <w:t>10-12</w:t>
      </w:r>
      <w:r>
        <w:rPr>
          <w:rFonts w:ascii="Calibri" w:eastAsiaTheme="minorEastAsia" w:hAnsiTheme="minorHAnsi" w:cstheme="minorBidi"/>
          <w:color w:val="000000"/>
          <w:spacing w:val="4"/>
          <w:sz w:val="21"/>
          <w:szCs w:val="22"/>
          <w:lang w:val="en-US" w:eastAsia="en-US" w:bidi="ar-SA"/>
        </w:rPr>
        <w:t xml:space="preserve"> </w:t>
      </w:r>
      <w:r>
        <w:rPr>
          <w:rFonts w:ascii="SimSun" w:hAnsi="SimSun" w:eastAsiaTheme="minorEastAsia" w:cs="SimSun"/>
          <w:color w:val="000000"/>
          <w:sz w:val="21"/>
          <w:szCs w:val="22"/>
          <w:lang w:val="en-US" w:eastAsia="en-US" w:bidi="ar-SA"/>
        </w:rPr>
        <w:t>月份）</w:t>
      </w:r>
    </w:p>
    <w:p>
      <w:pPr>
        <w:framePr w:w="1819" w:x="9758" w:y="3208"/>
        <w:widowControl w:val="0"/>
        <w:autoSpaceDE w:val="0"/>
        <w:autoSpaceDN w:val="0"/>
        <w:spacing w:before="83" w:line="211" w:lineRule="exact"/>
        <w:ind w:left="106"/>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564,382,536.30</w:t>
      </w:r>
    </w:p>
    <w:p>
      <w:pPr>
        <w:framePr w:w="1819" w:x="9758" w:y="3208"/>
        <w:widowControl w:val="0"/>
        <w:autoSpaceDE w:val="0"/>
        <w:autoSpaceDN w:val="0"/>
        <w:spacing w:before="110" w:line="211" w:lineRule="exact"/>
        <w:ind w:left="211"/>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53,656,277.11</w:t>
      </w:r>
    </w:p>
    <w:p>
      <w:pPr>
        <w:framePr w:w="1085" w:x="1200" w:y="3549"/>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营业收入</w:t>
      </w:r>
    </w:p>
    <w:p>
      <w:pPr>
        <w:framePr w:w="3444" w:x="4191" w:y="3549"/>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368,138,134.73</w:t>
      </w:r>
      <w:r>
        <w:rPr>
          <w:rFonts w:ascii="SimSun" w:eastAsiaTheme="minorEastAsia" w:hAnsiTheme="minorHAnsi" w:cstheme="minorBidi"/>
          <w:color w:val="000000"/>
          <w:spacing w:val="152"/>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597,371,937.28</w:t>
      </w:r>
    </w:p>
    <w:p>
      <w:pPr>
        <w:framePr w:w="1718" w:x="7878" w:y="3549"/>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365,703,057.94</w:t>
      </w:r>
    </w:p>
    <w:p>
      <w:pPr>
        <w:framePr w:w="1718" w:x="7878" w:y="3549"/>
        <w:widowControl w:val="0"/>
        <w:autoSpaceDE w:val="0"/>
        <w:autoSpaceDN w:val="0"/>
        <w:spacing w:before="110" w:line="211" w:lineRule="exact"/>
        <w:ind w:left="106"/>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26,522,967.52</w:t>
      </w:r>
    </w:p>
    <w:p>
      <w:pPr>
        <w:framePr w:w="6436" w:x="1200" w:y="3871"/>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归属于上市公司股东的净利润</w:t>
      </w:r>
      <w:r>
        <w:rPr>
          <w:rFonts w:eastAsiaTheme="minorEastAsia" w:hAnsiTheme="minorHAnsi" w:cstheme="minorBidi"/>
          <w:color w:val="000000"/>
          <w:spacing w:val="311"/>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24,946,636.61</w:t>
      </w:r>
      <w:r>
        <w:rPr>
          <w:rFonts w:ascii="SimSun" w:eastAsiaTheme="minorEastAsia" w:hAnsiTheme="minorHAnsi" w:cstheme="minorBidi"/>
          <w:color w:val="000000"/>
          <w:spacing w:val="258"/>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70,908,453.86</w:t>
      </w:r>
    </w:p>
    <w:p>
      <w:pPr>
        <w:framePr w:w="3000" w:x="1200" w:y="4195"/>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2"/>
          <w:sz w:val="21"/>
          <w:szCs w:val="22"/>
          <w:lang w:val="en-US" w:eastAsia="en-US" w:bidi="ar-SA"/>
        </w:rPr>
        <w:t>归属于上市公司股东的扣除非</w:t>
      </w:r>
    </w:p>
    <w:p>
      <w:pPr>
        <w:framePr w:w="3339" w:x="4297" w:y="4351"/>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26,789,021.13</w:t>
      </w:r>
      <w:r>
        <w:rPr>
          <w:rFonts w:ascii="SimSun" w:eastAsiaTheme="minorEastAsia" w:hAnsiTheme="minorHAnsi" w:cstheme="minorBidi"/>
          <w:color w:val="000000"/>
          <w:spacing w:val="258"/>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78,956,666.08</w:t>
      </w:r>
    </w:p>
    <w:p>
      <w:pPr>
        <w:framePr w:w="1718" w:x="7878" w:y="4351"/>
        <w:widowControl w:val="0"/>
        <w:autoSpaceDE w:val="0"/>
        <w:autoSpaceDN w:val="0"/>
        <w:spacing w:line="211" w:lineRule="exact"/>
        <w:ind w:left="106"/>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22,468,759.71</w:t>
      </w:r>
    </w:p>
    <w:p>
      <w:pPr>
        <w:framePr w:w="1718" w:x="7878" w:y="4351"/>
        <w:widowControl w:val="0"/>
        <w:autoSpaceDE w:val="0"/>
        <w:autoSpaceDN w:val="0"/>
        <w:spacing w:before="266"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222,523,513.17</w:t>
      </w:r>
    </w:p>
    <w:p>
      <w:pPr>
        <w:framePr w:w="1613" w:x="9969" w:y="4351"/>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36,725,754.58</w:t>
      </w:r>
    </w:p>
    <w:p>
      <w:pPr>
        <w:framePr w:w="1613" w:x="9969" w:y="4351"/>
        <w:widowControl w:val="0"/>
        <w:autoSpaceDE w:val="0"/>
        <w:autoSpaceDN w:val="0"/>
        <w:spacing w:before="266"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92,633,205.77</w:t>
      </w:r>
    </w:p>
    <w:p>
      <w:pPr>
        <w:framePr w:w="2352" w:x="1200" w:y="4507"/>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经常性损益后的净利润</w:t>
      </w:r>
    </w:p>
    <w:p>
      <w:pPr>
        <w:framePr w:w="6436" w:x="1200" w:y="4829"/>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经营活动产生的现金流量净额</w:t>
      </w:r>
      <w:r>
        <w:rPr>
          <w:rFonts w:eastAsiaTheme="minorEastAsia" w:hAnsiTheme="minorHAnsi" w:cstheme="minorBidi"/>
          <w:color w:val="000000"/>
          <w:spacing w:val="311"/>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-5,625,279.46</w:t>
      </w:r>
      <w:r>
        <w:rPr>
          <w:rFonts w:ascii="SimSun" w:eastAsiaTheme="minorEastAsia" w:hAnsiTheme="minorHAnsi" w:cstheme="minorBidi"/>
          <w:color w:val="000000"/>
          <w:spacing w:val="258"/>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51,854,107.24</w:t>
      </w:r>
    </w:p>
    <w:p>
      <w:pPr>
        <w:framePr w:w="6436" w:x="1200" w:y="4829"/>
        <w:widowControl w:val="0"/>
        <w:autoSpaceDE w:val="0"/>
        <w:autoSpaceDN w:val="0"/>
        <w:spacing w:before="344" w:line="211" w:lineRule="exact"/>
        <w:ind w:left="600"/>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季度数据与已披露定期报告数据差异说明</w:t>
      </w:r>
    </w:p>
    <w:p>
      <w:pPr>
        <w:framePr w:w="6436" w:x="1200" w:y="4829"/>
        <w:widowControl w:val="0"/>
        <w:autoSpaceDE w:val="0"/>
        <w:autoSpaceDN w:val="0"/>
        <w:spacing w:before="336" w:line="211" w:lineRule="exact"/>
        <w:ind w:left="600"/>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□适用</w:t>
      </w:r>
      <w:r>
        <w:rPr>
          <w:rFonts w:eastAsiaTheme="minorEastAsia" w:hAnsiTheme="minorHAnsi" w:cstheme="minorBidi"/>
          <w:color w:val="000000"/>
          <w:spacing w:val="156"/>
          <w:sz w:val="21"/>
          <w:szCs w:val="22"/>
          <w:lang w:val="en-US" w:eastAsia="en-US" w:bidi="ar-SA"/>
        </w:rPr>
        <w:t xml:space="preserve"> </w:t>
      </w:r>
      <w:r>
        <w:rPr>
          <w:rFonts w:ascii="SimSun" w:hAnsi="SimSun" w:eastAsiaTheme="minorEastAsia" w:cs="SimSun"/>
          <w:color w:val="000000"/>
          <w:sz w:val="21"/>
          <w:szCs w:val="22"/>
          <w:lang w:val="en-US" w:eastAsia="en-US" w:bidi="ar-SA"/>
        </w:rPr>
        <w:t>√不适用</w:t>
      </w:r>
    </w:p>
    <w:p>
      <w:pPr>
        <w:framePr w:w="346" w:x="1800" w:y="6319"/>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4</w:t>
      </w:r>
    </w:p>
    <w:p>
      <w:pPr>
        <w:framePr w:w="1718" w:x="2220" w:y="6319"/>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股本及股东情况</w:t>
      </w:r>
    </w:p>
    <w:p>
      <w:pPr>
        <w:framePr w:w="7170" w:x="1800" w:y="6778"/>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4.1</w:t>
      </w:r>
      <w:r>
        <w:rPr>
          <w:rFonts w:ascii="SimSun" w:eastAsiaTheme="minorEastAsia" w:hAnsiTheme="minorHAnsi" w:cstheme="minorBidi"/>
          <w:color w:val="000000"/>
          <w:spacing w:val="-2"/>
          <w:sz w:val="21"/>
          <w:szCs w:val="22"/>
          <w:lang w:val="en-US" w:eastAsia="en-US" w:bidi="ar-SA"/>
        </w:rPr>
        <w:t xml:space="preserve"> </w:t>
      </w:r>
      <w:r>
        <w:rPr>
          <w:rFonts w:ascii="SimSun" w:hAnsi="SimSun" w:eastAsiaTheme="minorEastAsia" w:cs="SimSun"/>
          <w:color w:val="000000"/>
          <w:spacing w:val="1"/>
          <w:sz w:val="21"/>
          <w:szCs w:val="22"/>
          <w:lang w:val="en-US" w:eastAsia="en-US" w:bidi="ar-SA"/>
        </w:rPr>
        <w:t>普通股股东和表决权恢复的优先股股东数量及前</w:t>
      </w:r>
      <w:r>
        <w:rPr>
          <w:rFonts w:eastAsiaTheme="minorEastAsia" w:hAnsiTheme="minorHAnsi" w:cstheme="minorBidi"/>
          <w:color w:val="000000"/>
          <w:spacing w:val="1"/>
          <w:sz w:val="21"/>
          <w:szCs w:val="22"/>
          <w:lang w:val="en-US" w:eastAsia="en-US" w:bidi="ar-SA"/>
        </w:rPr>
        <w:t xml:space="preserve"> </w:t>
      </w:r>
      <w:r>
        <w:rPr>
          <w:rFonts w:ascii="Arial" w:eastAsiaTheme="minorEastAsia" w:hAnsiTheme="minorHAnsi" w:cstheme="minorBidi"/>
          <w:b/>
          <w:color w:val="000000"/>
          <w:spacing w:val="1"/>
          <w:sz w:val="21"/>
          <w:szCs w:val="22"/>
          <w:lang w:val="en-US" w:eastAsia="en-US" w:bidi="ar-SA"/>
        </w:rPr>
        <w:t>10</w:t>
      </w:r>
      <w:r>
        <w:rPr>
          <w:rFonts w:ascii="Arial" w:eastAsiaTheme="minorEastAsia" w:hAnsiTheme="minorHAnsi" w:cstheme="minorBidi"/>
          <w:b/>
          <w:color w:val="000000"/>
          <w:spacing w:val="45"/>
          <w:sz w:val="21"/>
          <w:szCs w:val="22"/>
          <w:lang w:val="en-US" w:eastAsia="en-US" w:bidi="ar-SA"/>
        </w:rPr>
        <w:t xml:space="preserve"> </w:t>
      </w:r>
      <w:r>
        <w:rPr>
          <w:rFonts w:ascii="SimSun" w:hAnsi="SimSun" w:eastAsiaTheme="minorEastAsia" w:cs="SimSun"/>
          <w:color w:val="000000"/>
          <w:spacing w:val="1"/>
          <w:sz w:val="21"/>
          <w:szCs w:val="22"/>
          <w:lang w:val="en-US" w:eastAsia="en-US" w:bidi="ar-SA"/>
        </w:rPr>
        <w:t>名股东持股情况表</w:t>
      </w:r>
    </w:p>
    <w:p>
      <w:pPr>
        <w:framePr w:w="1082" w:x="9794" w:y="7491"/>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单位</w:t>
      </w:r>
      <w:r>
        <w:rPr>
          <w:rFonts w:ascii="SimSun" w:eastAsiaTheme="minorEastAsia" w:hAnsiTheme="minorHAnsi" w:cstheme="minorBidi"/>
          <w:color w:val="000000"/>
          <w:sz w:val="21"/>
          <w:szCs w:val="22"/>
          <w:lang w:val="en-US" w:eastAsia="en-US" w:bidi="ar-SA"/>
        </w:rPr>
        <w:t>:</w:t>
      </w:r>
      <w:r>
        <w:rPr>
          <w:rFonts w:ascii="SimSun" w:eastAsiaTheme="minorEastAsia" w:hAnsiTheme="minorHAnsi" w:cstheme="minorBidi"/>
          <w:color w:val="000000"/>
          <w:spacing w:val="-1"/>
          <w:sz w:val="21"/>
          <w:szCs w:val="22"/>
          <w:lang w:val="en-US" w:eastAsia="en-US" w:bidi="ar-SA"/>
        </w:rPr>
        <w:t xml:space="preserve"> </w:t>
      </w:r>
      <w:r>
        <w:rPr>
          <w:rFonts w:ascii="SimSun" w:hAnsi="SimSun" w:eastAsiaTheme="minorEastAsia" w:cs="SimSun"/>
          <w:color w:val="000000"/>
          <w:sz w:val="21"/>
          <w:szCs w:val="22"/>
          <w:lang w:val="en-US" w:eastAsia="en-US" w:bidi="ar-SA"/>
        </w:rPr>
        <w:t>股</w:t>
      </w:r>
    </w:p>
    <w:p>
      <w:pPr>
        <w:framePr w:w="3619" w:x="914" w:y="7812"/>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截止报告期末普通股股东总数（户）</w:t>
      </w:r>
    </w:p>
    <w:p>
      <w:pPr>
        <w:framePr w:w="768" w:x="10665" w:y="7812"/>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8,110</w:t>
      </w:r>
    </w:p>
    <w:p>
      <w:pPr>
        <w:framePr w:w="6378" w:x="914" w:y="8134"/>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年度报告披露日前上一月末的普通股股东总数（户）</w:t>
      </w:r>
    </w:p>
    <w:p>
      <w:pPr>
        <w:framePr w:w="6378" w:x="914" w:y="8134"/>
        <w:widowControl w:val="0"/>
        <w:autoSpaceDE w:val="0"/>
        <w:autoSpaceDN w:val="0"/>
        <w:spacing w:before="110"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截止报告期末表决权恢复的优先股股东总数（户）</w:t>
      </w:r>
    </w:p>
    <w:p>
      <w:pPr>
        <w:framePr w:w="6378" w:x="914" w:y="8134"/>
        <w:widowControl w:val="0"/>
        <w:autoSpaceDE w:val="0"/>
        <w:autoSpaceDN w:val="0"/>
        <w:spacing w:before="113"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年度报告披露日前上一月末表决权恢复的优先股股东总数（户）</w:t>
      </w:r>
    </w:p>
    <w:p>
      <w:pPr>
        <w:framePr w:w="6378" w:x="914" w:y="8134"/>
        <w:widowControl w:val="0"/>
        <w:autoSpaceDE w:val="0"/>
        <w:autoSpaceDN w:val="0"/>
        <w:spacing w:before="110" w:line="211" w:lineRule="exact"/>
        <w:ind w:left="4141"/>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前</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10</w:t>
      </w:r>
      <w:r>
        <w:rPr>
          <w:rFonts w:ascii="SimSun" w:hAnsi="SimSun" w:eastAsiaTheme="minorEastAsia" w:cs="SimSun"/>
          <w:color w:val="000000"/>
          <w:sz w:val="21"/>
          <w:szCs w:val="22"/>
          <w:lang w:val="en-US" w:eastAsia="en-US" w:bidi="ar-SA"/>
        </w:rPr>
        <w:t>名股东持股情况</w:t>
      </w:r>
    </w:p>
    <w:p>
      <w:pPr>
        <w:framePr w:w="768" w:x="10665" w:y="8134"/>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9,217</w:t>
      </w:r>
    </w:p>
    <w:p>
      <w:pPr>
        <w:framePr w:w="346" w:x="11085" w:y="8455"/>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0</w:t>
      </w:r>
    </w:p>
    <w:p>
      <w:pPr>
        <w:framePr w:w="346" w:x="11085" w:y="8455"/>
        <w:widowControl w:val="0"/>
        <w:autoSpaceDE w:val="0"/>
        <w:autoSpaceDN w:val="0"/>
        <w:spacing w:before="113"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0</w:t>
      </w:r>
    </w:p>
    <w:p>
      <w:pPr>
        <w:framePr w:w="1085" w:x="7113" w:y="9505"/>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持有有限</w:t>
      </w:r>
    </w:p>
    <w:p>
      <w:pPr>
        <w:framePr w:w="1085" w:x="7113" w:y="9505"/>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售条件的</w:t>
      </w:r>
    </w:p>
    <w:p>
      <w:pPr>
        <w:framePr w:w="1085" w:x="7113" w:y="9505"/>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股份数量</w:t>
      </w:r>
    </w:p>
    <w:p>
      <w:pPr>
        <w:framePr w:w="1718" w:x="8334" w:y="9500"/>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质押或冻结情况</w:t>
      </w:r>
    </w:p>
    <w:p>
      <w:pPr>
        <w:framePr w:w="1718" w:x="8334" w:y="9500"/>
        <w:widowControl w:val="0"/>
        <w:autoSpaceDE w:val="0"/>
        <w:autoSpaceDN w:val="0"/>
        <w:spacing w:before="187" w:line="211" w:lineRule="exact"/>
        <w:ind w:left="50"/>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股份</w:t>
      </w:r>
    </w:p>
    <w:p>
      <w:pPr>
        <w:framePr w:w="1085" w:x="1592" w:y="9661"/>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股东名称</w:t>
      </w:r>
    </w:p>
    <w:p>
      <w:pPr>
        <w:framePr w:w="1085" w:x="1592" w:y="9661"/>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（全称）</w:t>
      </w:r>
    </w:p>
    <w:p>
      <w:pPr>
        <w:framePr w:w="1296" w:x="4892" w:y="9661"/>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期末持股数</w:t>
      </w:r>
    </w:p>
    <w:p>
      <w:pPr>
        <w:framePr w:w="1296" w:x="4892" w:y="9661"/>
        <w:widowControl w:val="0"/>
        <w:autoSpaceDE w:val="0"/>
        <w:autoSpaceDN w:val="0"/>
        <w:spacing w:before="101" w:line="211" w:lineRule="exact"/>
        <w:ind w:left="420"/>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量</w:t>
      </w:r>
    </w:p>
    <w:p>
      <w:pPr>
        <w:framePr w:w="662" w:x="6267" w:y="9661"/>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比例</w:t>
      </w:r>
    </w:p>
    <w:p>
      <w:pPr>
        <w:framePr w:w="662" w:x="10430" w:y="9661"/>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股东</w:t>
      </w:r>
    </w:p>
    <w:p>
      <w:pPr>
        <w:framePr w:w="662" w:x="10430" w:y="9661"/>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性质</w:t>
      </w:r>
    </w:p>
    <w:p>
      <w:pPr>
        <w:framePr w:w="1507" w:x="3365" w:y="9817"/>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报告期内增减</w:t>
      </w:r>
    </w:p>
    <w:p>
      <w:pPr>
        <w:framePr w:w="557" w:x="6321" w:y="9973"/>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w:t>
      </w:r>
    </w:p>
    <w:p>
      <w:pPr>
        <w:framePr w:w="662" w:x="9295" w:y="10054"/>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数量</w:t>
      </w:r>
    </w:p>
    <w:p>
      <w:pPr>
        <w:framePr w:w="662" w:x="8385" w:y="10210"/>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状态</w:t>
      </w:r>
    </w:p>
    <w:p>
      <w:pPr>
        <w:framePr w:w="874" w:x="914" w:y="10532"/>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王现全</w:t>
      </w:r>
    </w:p>
    <w:p>
      <w:pPr>
        <w:framePr w:w="874" w:x="914" w:y="10532"/>
        <w:widowControl w:val="0"/>
        <w:autoSpaceDE w:val="0"/>
        <w:autoSpaceDN w:val="0"/>
        <w:spacing w:before="110"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陈鸣宇</w:t>
      </w:r>
    </w:p>
    <w:p>
      <w:pPr>
        <w:framePr w:w="874" w:x="914" w:y="10532"/>
        <w:widowControl w:val="0"/>
        <w:autoSpaceDE w:val="0"/>
        <w:autoSpaceDN w:val="0"/>
        <w:spacing w:before="110"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李壮</w:t>
      </w:r>
    </w:p>
    <w:p>
      <w:pPr>
        <w:framePr w:w="1296" w:x="3324" w:y="10532"/>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15,014,883</w:t>
      </w:r>
    </w:p>
    <w:p>
      <w:pPr>
        <w:framePr w:w="1296" w:x="3324" w:y="10532"/>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21,532,720</w:t>
      </w:r>
    </w:p>
    <w:p>
      <w:pPr>
        <w:framePr w:w="1296" w:x="3324" w:y="10532"/>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1,062,264</w:t>
      </w:r>
    </w:p>
    <w:p>
      <w:pPr>
        <w:framePr w:w="2138" w:x="4897" w:y="10532"/>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52,552,091</w:t>
      </w:r>
      <w:r>
        <w:rPr>
          <w:rFonts w:ascii="SimSun" w:eastAsiaTheme="minorEastAsia" w:hAnsiTheme="minorHAnsi" w:cstheme="minorBidi"/>
          <w:color w:val="000000"/>
          <w:spacing w:val="212"/>
          <w:sz w:val="21"/>
          <w:szCs w:val="22"/>
          <w:lang w:val="en-US" w:eastAsia="en-US" w:bidi="ar-SA"/>
        </w:rPr>
        <w:t xml:space="preserve"> </w:t>
      </w:r>
      <w:r>
        <w:rPr>
          <w:rFonts w:ascii="SimSun" w:eastAsiaTheme="minorEastAsia" w:hAnsiTheme="minorHAnsi" w:cstheme="minorBidi"/>
          <w:color w:val="000000"/>
          <w:spacing w:val="1"/>
          <w:sz w:val="21"/>
          <w:szCs w:val="22"/>
          <w:lang w:val="en-US" w:eastAsia="en-US" w:bidi="ar-SA"/>
        </w:rPr>
        <w:t>33.16</w:t>
      </w:r>
    </w:p>
    <w:p>
      <w:pPr>
        <w:framePr w:w="2138" w:x="4897" w:y="10532"/>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23,606,020</w:t>
      </w:r>
      <w:r>
        <w:rPr>
          <w:rFonts w:ascii="SimSun" w:eastAsiaTheme="minorEastAsia" w:hAnsiTheme="minorHAnsi" w:cstheme="minorBidi"/>
          <w:color w:val="000000"/>
          <w:spacing w:val="212"/>
          <w:sz w:val="21"/>
          <w:szCs w:val="22"/>
          <w:lang w:val="en-US" w:eastAsia="en-US" w:bidi="ar-SA"/>
        </w:rPr>
        <w:t xml:space="preserve"> </w:t>
      </w:r>
      <w:r>
        <w:rPr>
          <w:rFonts w:ascii="SimSun" w:eastAsiaTheme="minorEastAsia" w:hAnsiTheme="minorHAnsi" w:cstheme="minorBidi"/>
          <w:color w:val="000000"/>
          <w:spacing w:val="1"/>
          <w:sz w:val="21"/>
          <w:szCs w:val="22"/>
          <w:lang w:val="en-US" w:eastAsia="en-US" w:bidi="ar-SA"/>
        </w:rPr>
        <w:t>14.89</w:t>
      </w:r>
    </w:p>
    <w:p>
      <w:pPr>
        <w:framePr w:w="451" w:x="8709" w:y="10532"/>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无</w:t>
      </w:r>
    </w:p>
    <w:p>
      <w:pPr>
        <w:framePr w:w="1296" w:x="10140" w:y="10532"/>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境内自然人</w:t>
      </w:r>
    </w:p>
    <w:p>
      <w:pPr>
        <w:framePr w:w="1296" w:x="10140" w:y="10532"/>
        <w:widowControl w:val="0"/>
        <w:autoSpaceDE w:val="0"/>
        <w:autoSpaceDN w:val="0"/>
        <w:spacing w:before="110"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境内自然人</w:t>
      </w:r>
    </w:p>
    <w:p>
      <w:pPr>
        <w:framePr w:w="1296" w:x="10140" w:y="10532"/>
        <w:widowControl w:val="0"/>
        <w:autoSpaceDE w:val="0"/>
        <w:autoSpaceDN w:val="0"/>
        <w:spacing w:before="110"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境内自然人</w:t>
      </w:r>
    </w:p>
    <w:p>
      <w:pPr>
        <w:framePr w:w="1296" w:x="10140" w:y="10532"/>
        <w:widowControl w:val="0"/>
        <w:autoSpaceDE w:val="0"/>
        <w:autoSpaceDN w:val="0"/>
        <w:spacing w:before="110" w:line="211" w:lineRule="exact"/>
        <w:ind w:left="631"/>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其他</w:t>
      </w:r>
    </w:p>
    <w:p>
      <w:pPr>
        <w:framePr w:w="451" w:x="8709" w:y="10853"/>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无</w:t>
      </w:r>
    </w:p>
    <w:p>
      <w:pPr>
        <w:framePr w:w="451" w:x="8709" w:y="10853"/>
        <w:widowControl w:val="0"/>
        <w:autoSpaceDE w:val="0"/>
        <w:autoSpaceDN w:val="0"/>
        <w:spacing w:before="110"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无</w:t>
      </w:r>
    </w:p>
    <w:p>
      <w:pPr>
        <w:framePr w:w="1190" w:x="5003" w:y="11175"/>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3,717,923</w:t>
      </w:r>
    </w:p>
    <w:p>
      <w:pPr>
        <w:framePr w:w="1190" w:x="5003" w:y="11175"/>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3,169,800</w:t>
      </w:r>
    </w:p>
    <w:p>
      <w:pPr>
        <w:framePr w:w="662" w:x="6373" w:y="11175"/>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2.35</w:t>
      </w:r>
    </w:p>
    <w:p>
      <w:pPr>
        <w:framePr w:w="662" w:x="6373" w:y="11175"/>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2.00</w:t>
      </w:r>
    </w:p>
    <w:p>
      <w:pPr>
        <w:framePr w:w="3598" w:x="914" w:y="11497"/>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建信基金－陈绪潇－建</w:t>
      </w:r>
      <w:r>
        <w:rPr>
          <w:rFonts w:eastAsiaTheme="minorEastAsia" w:hAnsiTheme="minorHAnsi" w:cstheme="minorBidi"/>
          <w:color w:val="000000"/>
          <w:spacing w:val="256"/>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3,169,800</w:t>
      </w:r>
    </w:p>
    <w:p>
      <w:pPr>
        <w:framePr w:w="3598" w:x="914" w:y="11497"/>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信鑫享</w:t>
      </w:r>
      <w:r>
        <w:rPr>
          <w:rFonts w:eastAsiaTheme="minorEastAsia" w:hAnsiTheme="minorHAnsi" w:cstheme="minorBidi"/>
          <w:color w:val="000000"/>
          <w:spacing w:val="2"/>
          <w:sz w:val="21"/>
          <w:szCs w:val="22"/>
          <w:lang w:val="en-US" w:eastAsia="en-US" w:bidi="ar-SA"/>
        </w:rPr>
        <w:t xml:space="preserve"> </w:t>
      </w:r>
      <w:r>
        <w:rPr>
          <w:rFonts w:ascii="SimSun" w:eastAsiaTheme="minorEastAsia" w:hAnsiTheme="minorHAnsi" w:cstheme="minorBidi"/>
          <w:color w:val="000000"/>
          <w:spacing w:val="53"/>
          <w:sz w:val="21"/>
          <w:szCs w:val="22"/>
          <w:lang w:val="en-US" w:eastAsia="en-US" w:bidi="ar-SA"/>
        </w:rPr>
        <w:t>4</w:t>
      </w:r>
      <w:r>
        <w:rPr>
          <w:rFonts w:ascii="SimSun" w:hAnsi="SimSun" w:eastAsiaTheme="minorEastAsia" w:cs="SimSun"/>
          <w:color w:val="000000"/>
          <w:sz w:val="21"/>
          <w:szCs w:val="22"/>
          <w:lang w:val="en-US" w:eastAsia="en-US" w:bidi="ar-SA"/>
        </w:rPr>
        <w:t>号单一资产管</w:t>
      </w:r>
    </w:p>
    <w:p>
      <w:pPr>
        <w:framePr w:w="3598" w:x="914" w:y="11497"/>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理计划</w:t>
      </w:r>
    </w:p>
    <w:p>
      <w:pPr>
        <w:framePr w:w="662" w:x="8500" w:y="11497"/>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未知</w:t>
      </w:r>
    </w:p>
    <w:p>
      <w:pPr>
        <w:framePr w:w="874" w:x="914" w:y="12445"/>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陈绪潇</w:t>
      </w:r>
    </w:p>
    <w:p>
      <w:pPr>
        <w:framePr w:w="1402" w:x="3324" w:y="12445"/>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-17,750,456</w:t>
      </w:r>
    </w:p>
    <w:p>
      <w:pPr>
        <w:framePr w:w="1190" w:x="5003" w:y="12445"/>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2,952,981</w:t>
      </w:r>
    </w:p>
    <w:p>
      <w:pPr>
        <w:framePr w:w="1190" w:x="5003" w:y="12445"/>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2,429,752</w:t>
      </w:r>
    </w:p>
    <w:p>
      <w:pPr>
        <w:framePr w:w="662" w:x="6373" w:y="12445"/>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1.86</w:t>
      </w:r>
    </w:p>
    <w:p>
      <w:pPr>
        <w:framePr w:w="662" w:x="6373" w:y="12445"/>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1.53</w:t>
      </w:r>
    </w:p>
    <w:p>
      <w:pPr>
        <w:framePr w:w="2933" w:x="8500" w:y="12445"/>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未知</w:t>
      </w:r>
      <w:r>
        <w:rPr>
          <w:rFonts w:eastAsiaTheme="minorEastAsia" w:hAnsiTheme="minorHAnsi" w:cstheme="minorBidi"/>
          <w:color w:val="000000"/>
          <w:spacing w:val="164"/>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205,971</w:t>
      </w:r>
      <w:r>
        <w:rPr>
          <w:rFonts w:ascii="SimSun" w:eastAsiaTheme="minorEastAsia" w:hAnsiTheme="minorHAnsi" w:cstheme="minorBidi"/>
          <w:color w:val="000000"/>
          <w:spacing w:val="159"/>
          <w:sz w:val="21"/>
          <w:szCs w:val="22"/>
          <w:lang w:val="en-US" w:eastAsia="en-US" w:bidi="ar-SA"/>
        </w:rPr>
        <w:t xml:space="preserve"> </w:t>
      </w:r>
      <w:r>
        <w:rPr>
          <w:rFonts w:ascii="SimSun" w:hAnsi="SimSun" w:eastAsiaTheme="minorEastAsia" w:cs="SimSun"/>
          <w:color w:val="000000"/>
          <w:spacing w:val="1"/>
          <w:sz w:val="21"/>
          <w:szCs w:val="22"/>
          <w:lang w:val="en-US" w:eastAsia="en-US" w:bidi="ar-SA"/>
        </w:rPr>
        <w:t>境内自然人</w:t>
      </w:r>
    </w:p>
    <w:p>
      <w:pPr>
        <w:framePr w:w="3598" w:x="914" w:y="12767"/>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中国工商银行股份有限</w:t>
      </w:r>
      <w:r>
        <w:rPr>
          <w:rFonts w:eastAsiaTheme="minorEastAsia" w:hAnsiTheme="minorHAnsi" w:cstheme="minorBidi"/>
          <w:color w:val="000000"/>
          <w:spacing w:val="256"/>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2,429,752</w:t>
      </w:r>
    </w:p>
    <w:p>
      <w:pPr>
        <w:framePr w:w="3598" w:x="914" w:y="12767"/>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公司－国泰鑫睿混合型</w:t>
      </w:r>
    </w:p>
    <w:p>
      <w:pPr>
        <w:framePr w:w="3598" w:x="914" w:y="12767"/>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证券投资基金</w:t>
      </w:r>
    </w:p>
    <w:p>
      <w:pPr>
        <w:framePr w:w="662" w:x="8500" w:y="12767"/>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未知</w:t>
      </w:r>
    </w:p>
    <w:p>
      <w:pPr>
        <w:framePr w:w="662" w:x="10771" w:y="12767"/>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其他</w:t>
      </w:r>
    </w:p>
    <w:p>
      <w:pPr>
        <w:framePr w:w="3598" w:x="914" w:y="13712"/>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中国工商银行股份有限</w:t>
      </w:r>
      <w:r>
        <w:rPr>
          <w:rFonts w:eastAsiaTheme="minorEastAsia" w:hAnsiTheme="minorHAnsi" w:cstheme="minorBidi"/>
          <w:color w:val="000000"/>
          <w:spacing w:val="256"/>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2,373,160</w:t>
      </w:r>
    </w:p>
    <w:p>
      <w:pPr>
        <w:framePr w:w="3598" w:x="914" w:y="13712"/>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公司－国泰金泰平衡混</w:t>
      </w:r>
    </w:p>
    <w:p>
      <w:pPr>
        <w:framePr w:w="3598" w:x="914" w:y="13712"/>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合型证券投资基金</w:t>
      </w:r>
    </w:p>
    <w:p>
      <w:pPr>
        <w:framePr w:w="1190" w:x="5003" w:y="13712"/>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2,373,160</w:t>
      </w:r>
    </w:p>
    <w:p>
      <w:pPr>
        <w:framePr w:w="662" w:x="6373" w:y="13712"/>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1.50</w:t>
      </w:r>
    </w:p>
    <w:p>
      <w:pPr>
        <w:framePr w:w="662" w:x="8500" w:y="13712"/>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未知</w:t>
      </w:r>
    </w:p>
    <w:p>
      <w:pPr>
        <w:framePr w:w="662" w:x="10771" w:y="13712"/>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其他</w:t>
      </w:r>
    </w:p>
    <w:p>
      <w:pPr>
        <w:framePr w:w="662" w:x="914" w:y="14658"/>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王萍</w:t>
      </w:r>
    </w:p>
    <w:p>
      <w:pPr>
        <w:framePr w:w="979" w:x="3324" w:y="14658"/>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713,000</w:t>
      </w:r>
    </w:p>
    <w:p>
      <w:pPr>
        <w:framePr w:w="979" w:x="3324" w:y="14658"/>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604,766</w:t>
      </w:r>
    </w:p>
    <w:p>
      <w:pPr>
        <w:framePr w:w="1190" w:x="5003" w:y="14658"/>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2,255,000</w:t>
      </w:r>
    </w:p>
    <w:p>
      <w:pPr>
        <w:framePr w:w="1190" w:x="5003" w:y="14658"/>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2,116,682</w:t>
      </w:r>
    </w:p>
    <w:p>
      <w:pPr>
        <w:framePr w:w="662" w:x="6373" w:y="14658"/>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1.42</w:t>
      </w:r>
    </w:p>
    <w:p>
      <w:pPr>
        <w:framePr w:w="662" w:x="6373" w:y="14658"/>
        <w:widowControl w:val="0"/>
        <w:autoSpaceDE w:val="0"/>
        <w:autoSpaceDN w:val="0"/>
        <w:spacing w:before="110"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1.34</w:t>
      </w:r>
    </w:p>
    <w:p>
      <w:pPr>
        <w:framePr w:w="662" w:x="8500" w:y="14658"/>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未知</w:t>
      </w:r>
    </w:p>
    <w:p>
      <w:pPr>
        <w:framePr w:w="662" w:x="8500" w:y="14658"/>
        <w:widowControl w:val="0"/>
        <w:autoSpaceDE w:val="0"/>
        <w:autoSpaceDN w:val="0"/>
        <w:spacing w:before="110" w:line="211" w:lineRule="exact"/>
        <w:ind w:left="209"/>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无</w:t>
      </w:r>
    </w:p>
    <w:p>
      <w:pPr>
        <w:framePr w:w="662" w:x="10771" w:y="14658"/>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未知</w:t>
      </w:r>
    </w:p>
    <w:p>
      <w:pPr>
        <w:framePr w:w="874" w:x="914" w:y="14980"/>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贾玉玲</w:t>
      </w:r>
    </w:p>
    <w:p>
      <w:pPr>
        <w:framePr w:w="1296" w:x="10140" w:y="14980"/>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境内自然人</w:t>
      </w: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r>
        <w:rPr>
          <w:noProof/>
        </w:rPr>
        <w:pict>
          <v:shape id="_x0000_s1028" type="#_x0000_t75" style="width:512.95pt;height:16.55pt;margin-top:74.5pt;margin-left:39.1pt;mso-position-horizontal-relative:page;mso-position-vertical-relative:page;position:absolute;z-index:-251648000">
            <v:imagedata r:id="rId7" o:title=""/>
          </v:shape>
        </w:pict>
      </w:r>
      <w:r>
        <w:rPr>
          <w:noProof/>
        </w:rPr>
        <w:pict>
          <v:shape id="_x0000_s1029" type="#_x0000_t75" style="width:519.9pt;height:114.2pt;margin-top:141.75pt;margin-left:53.35pt;mso-position-horizontal-relative:page;mso-position-vertical-relative:page;position:absolute;z-index:-251651072">
            <v:imagedata r:id="rId8" o:title=""/>
          </v:shape>
        </w:pict>
      </w:r>
      <w:r>
        <w:rPr>
          <w:noProof/>
        </w:rPr>
        <w:pict>
          <v:shape id="_x0000_s1030" type="#_x0000_t75" style="width:527.1pt;height:376.95pt;margin-top:386.55pt;margin-left:39.1pt;mso-position-horizontal-relative:page;mso-position-vertical-relative:page;position:absolute;z-index:-251656192">
            <v:imagedata r:id="rId9" o:title=""/>
          </v:shape>
        </w:pict>
      </w:r>
    </w:p>
    <w:p>
      <w:pPr>
        <w:spacing w:line="0" w:lineRule="atLeast"/>
        <w:rPr>
          <w:rFonts w:ascii="Arial" w:eastAsiaTheme="minorEastAsia" w:hAnsiTheme="minorHAnsi" w:cstheme="minorBidi"/>
          <w:color w:val="FF0000"/>
          <w:sz w:val="2"/>
          <w:szCs w:val="22"/>
          <w:lang w:val="en-US" w:eastAsia="en-US" w:bidi="ar-SA"/>
        </w:rPr>
      </w:pPr>
      <w:bookmarkStart w:id="5" w:name="br1_4"/>
      <w:bookmarkEnd w:id="5"/>
      <w:r>
        <w:rPr>
          <w:rFonts w:ascii="Arial" w:eastAsiaTheme="minorEastAsia" w:hAnsiTheme="minorHAnsi" w:cstheme="minorBidi"/>
          <w:color w:val="FF0000"/>
          <w:sz w:val="2"/>
          <w:szCs w:val="22"/>
          <w:lang w:val="en-US" w:eastAsia="en-US" w:bidi="ar-SA"/>
        </w:rPr>
        <w:t xml:space="preserve"> </w:t>
      </w:r>
    </w:p>
    <w:p>
      <w:pPr>
        <w:framePr w:w="3598" w:x="914" w:y="1571"/>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中国建设银行股份有限</w:t>
      </w:r>
      <w:r>
        <w:rPr>
          <w:rFonts w:eastAsiaTheme="minorEastAsia" w:hAnsiTheme="minorHAnsi" w:cstheme="minorBidi"/>
          <w:color w:val="000000"/>
          <w:spacing w:val="245"/>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2,000,000</w:t>
      </w:r>
    </w:p>
    <w:p>
      <w:pPr>
        <w:framePr w:w="3598" w:x="914" w:y="1571"/>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公司－国泰大农业股票</w:t>
      </w:r>
    </w:p>
    <w:p>
      <w:pPr>
        <w:framePr w:w="1190" w:x="5003" w:y="1571"/>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2,000,000</w:t>
      </w:r>
    </w:p>
    <w:p>
      <w:pPr>
        <w:framePr w:w="662" w:x="6373" w:y="1571"/>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1.26</w:t>
      </w:r>
    </w:p>
    <w:p>
      <w:pPr>
        <w:framePr w:w="662" w:x="8500" w:y="1571"/>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未知</w:t>
      </w:r>
    </w:p>
    <w:p>
      <w:pPr>
        <w:framePr w:w="662" w:x="10771" w:y="1571"/>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其他</w:t>
      </w:r>
    </w:p>
    <w:p>
      <w:pPr>
        <w:framePr w:w="1718" w:x="914" w:y="2196"/>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型证券投资基金</w:t>
      </w:r>
    </w:p>
    <w:p>
      <w:pPr>
        <w:framePr w:w="3619" w:x="914" w:y="2517"/>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上述股东关联关系或一致行动的说明</w:t>
      </w:r>
    </w:p>
    <w:p>
      <w:pPr>
        <w:framePr w:w="6576" w:x="4887" w:y="2517"/>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上述股东中，陈鸣宇与贾玉玲为母子关系、建信基金－陈绪潇－建信</w:t>
      </w:r>
    </w:p>
    <w:p>
      <w:pPr>
        <w:framePr w:w="6576" w:x="4887" w:y="2517"/>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鑫享</w:t>
      </w:r>
      <w:r>
        <w:rPr>
          <w:rFonts w:eastAsiaTheme="minorEastAsia" w:hAnsiTheme="minorHAnsi" w:cstheme="minorBidi"/>
          <w:color w:val="000000"/>
          <w:sz w:val="21"/>
          <w:szCs w:val="22"/>
          <w:lang w:val="en-US" w:eastAsia="en-US" w:bidi="ar-SA"/>
        </w:rPr>
        <w:t xml:space="preserve"> </w:t>
      </w:r>
      <w:r>
        <w:rPr>
          <w:rFonts w:ascii="SimSun" w:eastAsiaTheme="minorEastAsia" w:hAnsiTheme="minorHAnsi" w:cstheme="minorBidi"/>
          <w:color w:val="000000"/>
          <w:spacing w:val="51"/>
          <w:sz w:val="21"/>
          <w:szCs w:val="22"/>
          <w:lang w:val="en-US" w:eastAsia="en-US" w:bidi="ar-SA"/>
        </w:rPr>
        <w:t>4</w:t>
      </w:r>
      <w:r>
        <w:rPr>
          <w:rFonts w:ascii="SimSun" w:hAnsi="SimSun" w:eastAsiaTheme="minorEastAsia" w:cs="SimSun"/>
          <w:color w:val="000000"/>
          <w:sz w:val="21"/>
          <w:szCs w:val="22"/>
          <w:lang w:val="en-US" w:eastAsia="en-US" w:bidi="ar-SA"/>
        </w:rPr>
        <w:t>号单一资产管理计划与陈绪潇为一致行动人。除上述关联关系</w:t>
      </w:r>
    </w:p>
    <w:p>
      <w:pPr>
        <w:framePr w:w="6576" w:x="4887" w:y="2517"/>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外，公司未知其他股东是否存在关联关系或一致行动关系。</w:t>
      </w:r>
    </w:p>
    <w:p>
      <w:pPr>
        <w:framePr w:w="4847" w:x="914" w:y="3463"/>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1"/>
          <w:sz w:val="21"/>
          <w:szCs w:val="22"/>
          <w:lang w:val="en-US" w:eastAsia="en-US" w:bidi="ar-SA"/>
        </w:rPr>
        <w:t>表决权恢复的优先股股东及持股数量的</w:t>
      </w:r>
      <w:r>
        <w:rPr>
          <w:rFonts w:eastAsiaTheme="minorEastAsia" w:hAnsiTheme="minorHAnsi" w:cstheme="minorBidi"/>
          <w:color w:val="000000"/>
          <w:spacing w:val="156"/>
          <w:sz w:val="21"/>
          <w:szCs w:val="22"/>
          <w:lang w:val="en-US" w:eastAsia="en-US" w:bidi="ar-SA"/>
        </w:rPr>
        <w:t xml:space="preserve"> </w:t>
      </w:r>
      <w:r>
        <w:rPr>
          <w:rFonts w:ascii="SimSun" w:hAnsi="SimSun" w:eastAsiaTheme="minorEastAsia" w:cs="SimSun"/>
          <w:color w:val="000000"/>
          <w:spacing w:val="1"/>
          <w:sz w:val="21"/>
          <w:szCs w:val="22"/>
          <w:lang w:val="en-US" w:eastAsia="en-US" w:bidi="ar-SA"/>
        </w:rPr>
        <w:t>不适用</w:t>
      </w:r>
    </w:p>
    <w:p>
      <w:pPr>
        <w:framePr w:w="4847" w:x="914" w:y="3463"/>
        <w:widowControl w:val="0"/>
        <w:autoSpaceDE w:val="0"/>
        <w:autoSpaceDN w:val="0"/>
        <w:spacing w:before="101"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说明</w:t>
      </w:r>
    </w:p>
    <w:p>
      <w:pPr>
        <w:framePr w:w="5089" w:x="1800" w:y="4485"/>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4.2</w:t>
      </w:r>
      <w:r>
        <w:rPr>
          <w:rFonts w:ascii="SimSun" w:eastAsiaTheme="minorEastAsia" w:hAnsiTheme="minorHAnsi" w:cstheme="minorBidi"/>
          <w:color w:val="000000"/>
          <w:spacing w:val="-2"/>
          <w:sz w:val="21"/>
          <w:szCs w:val="22"/>
          <w:lang w:val="en-US" w:eastAsia="en-US" w:bidi="ar-SA"/>
        </w:rPr>
        <w:t xml:space="preserve"> </w:t>
      </w:r>
      <w:r>
        <w:rPr>
          <w:rFonts w:ascii="SimSun" w:hAnsi="SimSun" w:eastAsiaTheme="minorEastAsia" w:cs="SimSun"/>
          <w:color w:val="000000"/>
          <w:spacing w:val="1"/>
          <w:sz w:val="21"/>
          <w:szCs w:val="22"/>
          <w:lang w:val="en-US" w:eastAsia="en-US" w:bidi="ar-SA"/>
        </w:rPr>
        <w:t>公司与控股股东之间的产权及控制关系的方框图</w:t>
      </w:r>
    </w:p>
    <w:p>
      <w:pPr>
        <w:framePr w:w="1922" w:x="1800" w:y="4877"/>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√适用</w:t>
      </w:r>
      <w:r>
        <w:rPr>
          <w:rFonts w:eastAsiaTheme="minorEastAsia" w:hAnsiTheme="minorHAnsi" w:cstheme="minorBidi"/>
          <w:color w:val="000000"/>
          <w:spacing w:val="156"/>
          <w:sz w:val="21"/>
          <w:szCs w:val="22"/>
          <w:lang w:val="en-US" w:eastAsia="en-US" w:bidi="ar-SA"/>
        </w:rPr>
        <w:t xml:space="preserve"> </w:t>
      </w:r>
      <w:r>
        <w:rPr>
          <w:rFonts w:ascii="SimSun" w:hAnsi="SimSun" w:eastAsiaTheme="minorEastAsia" w:cs="SimSun"/>
          <w:color w:val="000000"/>
          <w:sz w:val="21"/>
          <w:szCs w:val="22"/>
          <w:lang w:val="en-US" w:eastAsia="en-US" w:bidi="ar-SA"/>
        </w:rPr>
        <w:t>□不适用</w:t>
      </w:r>
    </w:p>
    <w:p>
      <w:pPr>
        <w:framePr w:w="5299" w:x="1800" w:y="8074"/>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4.3</w:t>
      </w:r>
      <w:r>
        <w:rPr>
          <w:rFonts w:ascii="SimSun" w:eastAsiaTheme="minorEastAsia" w:hAnsiTheme="minorHAnsi" w:cstheme="minorBidi"/>
          <w:color w:val="000000"/>
          <w:spacing w:val="-2"/>
          <w:sz w:val="21"/>
          <w:szCs w:val="22"/>
          <w:lang w:val="en-US" w:eastAsia="en-US" w:bidi="ar-SA"/>
        </w:rPr>
        <w:t xml:space="preserve"> </w:t>
      </w:r>
      <w:r>
        <w:rPr>
          <w:rFonts w:ascii="SimSun" w:hAnsi="SimSun" w:eastAsiaTheme="minorEastAsia" w:cs="SimSun"/>
          <w:color w:val="000000"/>
          <w:spacing w:val="1"/>
          <w:sz w:val="21"/>
          <w:szCs w:val="22"/>
          <w:lang w:val="en-US" w:eastAsia="en-US" w:bidi="ar-SA"/>
        </w:rPr>
        <w:t>公司与实际控制人之间的产权及控制关系的方框图</w:t>
      </w:r>
    </w:p>
    <w:p>
      <w:pPr>
        <w:framePr w:w="1922" w:x="1800" w:y="8465"/>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√适用</w:t>
      </w:r>
      <w:r>
        <w:rPr>
          <w:rFonts w:eastAsiaTheme="minorEastAsia" w:hAnsiTheme="minorHAnsi" w:cstheme="minorBidi"/>
          <w:color w:val="000000"/>
          <w:spacing w:val="156"/>
          <w:sz w:val="21"/>
          <w:szCs w:val="22"/>
          <w:lang w:val="en-US" w:eastAsia="en-US" w:bidi="ar-SA"/>
        </w:rPr>
        <w:t xml:space="preserve"> </w:t>
      </w:r>
      <w:r>
        <w:rPr>
          <w:rFonts w:ascii="SimSun" w:hAnsi="SimSun" w:eastAsiaTheme="minorEastAsia" w:cs="SimSun"/>
          <w:color w:val="000000"/>
          <w:sz w:val="21"/>
          <w:szCs w:val="22"/>
          <w:lang w:val="en-US" w:eastAsia="en-US" w:bidi="ar-SA"/>
        </w:rPr>
        <w:t>□不适用</w:t>
      </w:r>
    </w:p>
    <w:p>
      <w:pPr>
        <w:framePr w:w="5271" w:x="1800" w:y="11653"/>
        <w:widowControl w:val="0"/>
        <w:autoSpaceDE w:val="0"/>
        <w:autoSpaceDN w:val="0"/>
        <w:spacing w:line="236" w:lineRule="exact"/>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4.4</w:t>
      </w:r>
      <w:r>
        <w:rPr>
          <w:rFonts w:ascii="SimSun" w:eastAsiaTheme="minorEastAsia" w:hAnsiTheme="minorHAnsi" w:cstheme="minorBidi"/>
          <w:color w:val="000000"/>
          <w:spacing w:val="-2"/>
          <w:sz w:val="21"/>
          <w:szCs w:val="22"/>
          <w:lang w:val="en-US" w:eastAsia="en-US" w:bidi="ar-SA"/>
        </w:rPr>
        <w:t xml:space="preserve"> </w:t>
      </w:r>
      <w:r>
        <w:rPr>
          <w:rFonts w:ascii="SimSun" w:hAnsi="SimSun" w:eastAsiaTheme="minorEastAsia" w:cs="SimSun"/>
          <w:color w:val="000000"/>
          <w:spacing w:val="1"/>
          <w:sz w:val="21"/>
          <w:szCs w:val="22"/>
          <w:lang w:val="en-US" w:eastAsia="en-US" w:bidi="ar-SA"/>
        </w:rPr>
        <w:t>报告期末公司优先股股东总数及前</w:t>
      </w:r>
      <w:r>
        <w:rPr>
          <w:rFonts w:eastAsiaTheme="minorEastAsia" w:hAnsiTheme="minorHAnsi" w:cstheme="minorBidi"/>
          <w:color w:val="000000"/>
          <w:spacing w:val="1"/>
          <w:sz w:val="21"/>
          <w:szCs w:val="22"/>
          <w:lang w:val="en-US" w:eastAsia="en-US" w:bidi="ar-SA"/>
        </w:rPr>
        <w:t xml:space="preserve"> </w:t>
      </w:r>
      <w:r>
        <w:rPr>
          <w:rFonts w:ascii="Arial" w:eastAsiaTheme="minorEastAsia" w:hAnsiTheme="minorHAnsi" w:cstheme="minorBidi"/>
          <w:b/>
          <w:color w:val="000000"/>
          <w:spacing w:val="1"/>
          <w:sz w:val="21"/>
          <w:szCs w:val="22"/>
          <w:lang w:val="en-US" w:eastAsia="en-US" w:bidi="ar-SA"/>
        </w:rPr>
        <w:t>10</w:t>
      </w:r>
      <w:r>
        <w:rPr>
          <w:rFonts w:ascii="Arial" w:eastAsiaTheme="minorEastAsia" w:hAnsiTheme="minorHAnsi" w:cstheme="minorBidi"/>
          <w:b/>
          <w:color w:val="000000"/>
          <w:spacing w:val="45"/>
          <w:sz w:val="21"/>
          <w:szCs w:val="22"/>
          <w:lang w:val="en-US" w:eastAsia="en-US" w:bidi="ar-SA"/>
        </w:rPr>
        <w:t xml:space="preserve"> </w:t>
      </w:r>
      <w:r>
        <w:rPr>
          <w:rFonts w:ascii="SimSun" w:hAnsi="SimSun" w:eastAsiaTheme="minorEastAsia" w:cs="SimSun"/>
          <w:color w:val="000000"/>
          <w:spacing w:val="1"/>
          <w:sz w:val="21"/>
          <w:szCs w:val="22"/>
          <w:lang w:val="en-US" w:eastAsia="en-US" w:bidi="ar-SA"/>
        </w:rPr>
        <w:t>名股东情况</w:t>
      </w:r>
    </w:p>
    <w:p>
      <w:pPr>
        <w:framePr w:w="1817" w:x="1800" w:y="12053"/>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□适用</w:t>
      </w:r>
      <w:r>
        <w:rPr>
          <w:rFonts w:eastAsiaTheme="minorEastAsia" w:hAnsiTheme="minorHAnsi" w:cstheme="minorBidi"/>
          <w:color w:val="000000"/>
          <w:spacing w:val="51"/>
          <w:sz w:val="21"/>
          <w:szCs w:val="22"/>
          <w:lang w:val="en-US" w:eastAsia="en-US" w:bidi="ar-SA"/>
        </w:rPr>
        <w:t xml:space="preserve"> </w:t>
      </w:r>
      <w:r>
        <w:rPr>
          <w:rFonts w:ascii="SimSun" w:hAnsi="SimSun" w:eastAsiaTheme="minorEastAsia" w:cs="SimSun"/>
          <w:color w:val="000000"/>
          <w:sz w:val="21"/>
          <w:szCs w:val="22"/>
          <w:lang w:val="en-US" w:eastAsia="en-US" w:bidi="ar-SA"/>
        </w:rPr>
        <w:t>√不适用</w:t>
      </w:r>
    </w:p>
    <w:p>
      <w:pPr>
        <w:framePr w:w="346" w:x="1800" w:y="12443"/>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5</w:t>
      </w:r>
    </w:p>
    <w:p>
      <w:pPr>
        <w:framePr w:w="1507" w:x="2220" w:y="12443"/>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公司债券情况</w:t>
      </w:r>
    </w:p>
    <w:p>
      <w:pPr>
        <w:framePr w:w="1817" w:x="1800" w:y="12834"/>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□适用</w:t>
      </w:r>
      <w:r>
        <w:rPr>
          <w:rFonts w:eastAsiaTheme="minorEastAsia" w:hAnsiTheme="minorHAnsi" w:cstheme="minorBidi"/>
          <w:color w:val="000000"/>
          <w:spacing w:val="51"/>
          <w:sz w:val="21"/>
          <w:szCs w:val="22"/>
          <w:lang w:val="en-US" w:eastAsia="en-US" w:bidi="ar-SA"/>
        </w:rPr>
        <w:t xml:space="preserve"> </w:t>
      </w:r>
      <w:r>
        <w:rPr>
          <w:rFonts w:ascii="SimSun" w:hAnsi="SimSun" w:eastAsiaTheme="minorEastAsia" w:cs="SimSun"/>
          <w:color w:val="000000"/>
          <w:sz w:val="21"/>
          <w:szCs w:val="22"/>
          <w:lang w:val="en-US" w:eastAsia="en-US" w:bidi="ar-SA"/>
        </w:rPr>
        <w:t>√不适用</w:t>
      </w:r>
    </w:p>
    <w:p>
      <w:pPr>
        <w:framePr w:w="2829" w:x="1800" w:y="13208"/>
        <w:widowControl w:val="0"/>
        <w:autoSpaceDE w:val="0"/>
        <w:autoSpaceDN w:val="0"/>
        <w:spacing w:line="240" w:lineRule="exact"/>
        <w:rPr>
          <w:rFonts w:eastAsiaTheme="minorEastAsia" w:hAnsiTheme="minorHAnsi" w:cstheme="minorBidi"/>
          <w:color w:val="000000"/>
          <w:szCs w:val="22"/>
          <w:lang w:val="en-US" w:eastAsia="en-US" w:bidi="ar-SA"/>
        </w:rPr>
      </w:pPr>
      <w:r>
        <w:rPr>
          <w:rFonts w:ascii="SimHei" w:hAnsi="SimHei" w:eastAsiaTheme="minorEastAsia" w:cs="SimHei"/>
          <w:color w:val="000000"/>
          <w:szCs w:val="22"/>
          <w:lang w:val="en-US" w:eastAsia="en-US" w:bidi="ar-SA"/>
        </w:rPr>
        <w:t>三</w:t>
      </w:r>
      <w:r>
        <w:rPr>
          <w:rFonts w:eastAsiaTheme="minorEastAsia" w:hAnsiTheme="minorHAnsi" w:cstheme="minorBidi"/>
          <w:color w:val="000000"/>
          <w:spacing w:val="120"/>
          <w:szCs w:val="22"/>
          <w:lang w:val="en-US" w:eastAsia="en-US" w:bidi="ar-SA"/>
        </w:rPr>
        <w:t xml:space="preserve"> </w:t>
      </w:r>
      <w:r>
        <w:rPr>
          <w:rFonts w:ascii="SimHei" w:hAnsi="SimHei" w:eastAsiaTheme="minorEastAsia" w:cs="SimHei"/>
          <w:color w:val="000000"/>
          <w:spacing w:val="1"/>
          <w:szCs w:val="22"/>
          <w:lang w:val="en-US" w:eastAsia="en-US" w:bidi="ar-SA"/>
        </w:rPr>
        <w:t>经营情况讨论与分析</w:t>
      </w:r>
    </w:p>
    <w:p>
      <w:pPr>
        <w:framePr w:w="346" w:x="1800" w:y="13691"/>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1</w:t>
      </w:r>
    </w:p>
    <w:p>
      <w:pPr>
        <w:framePr w:w="2352" w:x="2220" w:y="13691"/>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报告期内主要经营情况</w:t>
      </w:r>
    </w:p>
    <w:p>
      <w:pPr>
        <w:framePr w:w="8658" w:x="2220" w:y="14159"/>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报告期内，公司总资产</w:t>
      </w:r>
      <w:r>
        <w:rPr>
          <w:rFonts w:eastAsiaTheme="minorEastAsia" w:hAnsiTheme="minorHAnsi" w:cstheme="minorBidi"/>
          <w:color w:val="000000"/>
          <w:spacing w:val="4"/>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233,500.22</w:t>
      </w:r>
      <w:r>
        <w:rPr>
          <w:rFonts w:ascii="SimSun" w:hAnsi="SimSun" w:eastAsiaTheme="minorEastAsia" w:cs="SimSun"/>
          <w:color w:val="000000"/>
          <w:sz w:val="21"/>
          <w:szCs w:val="22"/>
          <w:lang w:val="en-US" w:eastAsia="en-US" w:bidi="ar-SA"/>
        </w:rPr>
        <w:t>万元，归属于母公司股东权益为</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170,378.20</w:t>
      </w:r>
      <w:r>
        <w:rPr>
          <w:rFonts w:ascii="SimSun" w:hAnsi="SimSun" w:eastAsiaTheme="minorEastAsia" w:cs="SimSun"/>
          <w:color w:val="000000"/>
          <w:sz w:val="21"/>
          <w:szCs w:val="22"/>
          <w:lang w:val="en-US" w:eastAsia="en-US" w:bidi="ar-SA"/>
        </w:rPr>
        <w:t>万元。公司</w:t>
      </w:r>
    </w:p>
    <w:p>
      <w:pPr>
        <w:framePr w:w="9078" w:x="1800" w:y="14627"/>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实现营业收入</w:t>
      </w:r>
      <w:r>
        <w:rPr>
          <w:rFonts w:eastAsiaTheme="minorEastAsia" w:hAnsiTheme="minorHAnsi" w:cstheme="minorBidi"/>
          <w:color w:val="000000"/>
          <w:spacing w:val="13"/>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189,559.57</w:t>
      </w:r>
      <w:r>
        <w:rPr>
          <w:rFonts w:ascii="SimSun" w:eastAsiaTheme="minorEastAsia" w:hAnsiTheme="minorHAnsi" w:cstheme="minorBidi"/>
          <w:color w:val="000000"/>
          <w:spacing w:val="-42"/>
          <w:sz w:val="21"/>
          <w:szCs w:val="22"/>
          <w:lang w:val="en-US" w:eastAsia="en-US" w:bidi="ar-SA"/>
        </w:rPr>
        <w:t xml:space="preserve"> </w:t>
      </w:r>
      <w:r>
        <w:rPr>
          <w:rFonts w:ascii="SimSun" w:hAnsi="SimSun" w:eastAsiaTheme="minorEastAsia" w:cs="SimSun"/>
          <w:color w:val="000000"/>
          <w:sz w:val="21"/>
          <w:szCs w:val="22"/>
          <w:lang w:val="en-US" w:eastAsia="en-US" w:bidi="ar-SA"/>
        </w:rPr>
        <w:t>万元，较上年同期增长</w:t>
      </w:r>
      <w:r>
        <w:rPr>
          <w:rFonts w:eastAsiaTheme="minorEastAsia" w:hAnsiTheme="minorHAnsi" w:cstheme="minorBidi"/>
          <w:color w:val="000000"/>
          <w:spacing w:val="13"/>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20.39%</w:t>
      </w:r>
      <w:r>
        <w:rPr>
          <w:rFonts w:ascii="SimSun" w:hAnsi="SimSun" w:eastAsiaTheme="minorEastAsia" w:cs="SimSun"/>
          <w:color w:val="000000"/>
          <w:sz w:val="21"/>
          <w:szCs w:val="22"/>
          <w:lang w:val="en-US" w:eastAsia="en-US" w:bidi="ar-SA"/>
        </w:rPr>
        <w:t>；实现利润总额</w:t>
      </w:r>
      <w:r>
        <w:rPr>
          <w:rFonts w:eastAsiaTheme="minorEastAsia" w:hAnsiTheme="minorHAnsi" w:cstheme="minorBidi"/>
          <w:color w:val="000000"/>
          <w:spacing w:val="13"/>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21,465.14</w:t>
      </w:r>
      <w:r>
        <w:rPr>
          <w:rFonts w:ascii="SimSun" w:eastAsiaTheme="minorEastAsia" w:hAnsiTheme="minorHAnsi" w:cstheme="minorBidi"/>
          <w:color w:val="000000"/>
          <w:spacing w:val="-39"/>
          <w:sz w:val="21"/>
          <w:szCs w:val="22"/>
          <w:lang w:val="en-US" w:eastAsia="en-US" w:bidi="ar-SA"/>
        </w:rPr>
        <w:t xml:space="preserve"> </w:t>
      </w:r>
      <w:r>
        <w:rPr>
          <w:rFonts w:ascii="SimSun" w:hAnsi="SimSun" w:eastAsiaTheme="minorEastAsia" w:cs="SimSun"/>
          <w:color w:val="000000"/>
          <w:sz w:val="21"/>
          <w:szCs w:val="22"/>
          <w:lang w:val="en-US" w:eastAsia="en-US" w:bidi="ar-SA"/>
        </w:rPr>
        <w:t>万元，较上</w:t>
      </w:r>
    </w:p>
    <w:p>
      <w:pPr>
        <w:framePr w:w="9078" w:x="1800" w:y="14627"/>
        <w:widowControl w:val="0"/>
        <w:autoSpaceDE w:val="0"/>
        <w:autoSpaceDN w:val="0"/>
        <w:spacing w:before="257"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年同期下降</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10.24%</w:t>
      </w:r>
      <w:r>
        <w:rPr>
          <w:rFonts w:ascii="SimSun" w:hAnsi="SimSun" w:eastAsiaTheme="minorEastAsia" w:cs="SimSun"/>
          <w:color w:val="000000"/>
          <w:spacing w:val="-2"/>
          <w:sz w:val="21"/>
          <w:szCs w:val="22"/>
          <w:lang w:val="en-US" w:eastAsia="en-US" w:bidi="ar-SA"/>
        </w:rPr>
        <w:t>；实现归属于母公司股东净利润</w:t>
      </w:r>
      <w:r>
        <w:rPr>
          <w:rFonts w:eastAsiaTheme="minorEastAsia" w:hAnsiTheme="minorHAnsi" w:cstheme="minorBidi"/>
          <w:color w:val="000000"/>
          <w:spacing w:val="2"/>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17,603.43</w:t>
      </w:r>
      <w:r>
        <w:rPr>
          <w:rFonts w:ascii="SimSun" w:hAnsi="SimSun" w:eastAsiaTheme="minorEastAsia" w:cs="SimSun"/>
          <w:color w:val="000000"/>
          <w:spacing w:val="-4"/>
          <w:sz w:val="21"/>
          <w:szCs w:val="22"/>
          <w:lang w:val="en-US" w:eastAsia="en-US" w:bidi="ar-SA"/>
        </w:rPr>
        <w:t>万元，较上年同期下降</w:t>
      </w:r>
      <w:r>
        <w:rPr>
          <w:rFonts w:eastAsiaTheme="minorEastAsia" w:hAnsiTheme="minorHAnsi" w:cstheme="minorBidi"/>
          <w:color w:val="000000"/>
          <w:spacing w:val="5"/>
          <w:sz w:val="21"/>
          <w:szCs w:val="22"/>
          <w:lang w:val="en-US" w:eastAsia="en-US" w:bidi="ar-SA"/>
        </w:rPr>
        <w:t xml:space="preserve"> </w:t>
      </w:r>
      <w:r>
        <w:rPr>
          <w:rFonts w:ascii="SimSun" w:eastAsiaTheme="minorEastAsia" w:hAnsiTheme="minorHAnsi" w:cstheme="minorBidi"/>
          <w:color w:val="000000"/>
          <w:sz w:val="21"/>
          <w:szCs w:val="22"/>
          <w:lang w:val="en-US" w:eastAsia="en-US" w:bidi="ar-SA"/>
        </w:rPr>
        <w:t>13.97%</w:t>
      </w:r>
      <w:r>
        <w:rPr>
          <w:rFonts w:ascii="SimSun" w:hAnsi="SimSun" w:eastAsiaTheme="minorEastAsia" w:cs="SimSun"/>
          <w:color w:val="000000"/>
          <w:spacing w:val="-32"/>
          <w:sz w:val="21"/>
          <w:szCs w:val="22"/>
          <w:lang w:val="en-US" w:eastAsia="en-US" w:bidi="ar-SA"/>
        </w:rPr>
        <w:t>；实</w:t>
      </w: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r>
        <w:rPr>
          <w:noProof/>
        </w:rPr>
        <w:pict>
          <v:shape id="_x0000_s1031" type="#_x0000_t75" style="width:527.1pt;height:128.75pt;margin-top:74.5pt;margin-left:39.1pt;mso-position-horizontal-relative:page;mso-position-vertical-relative:page;position:absolute;z-index:-251646976">
            <v:imagedata r:id="rId10" o:title=""/>
          </v:shape>
        </w:pict>
      </w:r>
      <w:r>
        <w:rPr>
          <w:noProof/>
        </w:rPr>
        <w:pict>
          <v:shape id="_x0000_s1032" type="#_x0000_t75" style="width:173.6pt;height:138pt;margin-top:258pt;margin-left:89pt;mso-position-horizontal-relative:page;mso-position-vertical-relative:page;position:absolute;z-index:-251650048">
            <v:imagedata r:id="rId11" o:title=""/>
          </v:shape>
        </w:pict>
      </w:r>
      <w:r>
        <w:rPr>
          <w:noProof/>
        </w:rPr>
        <w:pict>
          <v:shape id="_x0000_s1033" type="#_x0000_t75" style="width:177.45pt;height:140.95pt;margin-top:436pt;margin-left:89pt;mso-position-horizontal-relative:page;mso-position-vertical-relative:page;position:absolute;z-index:-251655168">
            <v:imagedata r:id="rId12" o:title=""/>
          </v:shape>
        </w:pict>
      </w:r>
    </w:p>
    <w:p>
      <w:pPr>
        <w:spacing w:line="0" w:lineRule="atLeast"/>
        <w:rPr>
          <w:rFonts w:ascii="Arial" w:eastAsiaTheme="minorEastAsia" w:hAnsiTheme="minorHAnsi" w:cstheme="minorBidi"/>
          <w:color w:val="FF0000"/>
          <w:sz w:val="2"/>
          <w:szCs w:val="22"/>
          <w:lang w:val="en-US" w:eastAsia="en-US" w:bidi="ar-SA"/>
        </w:rPr>
      </w:pPr>
      <w:bookmarkStart w:id="6" w:name="br1_5"/>
      <w:bookmarkEnd w:id="6"/>
      <w:r>
        <w:rPr>
          <w:rFonts w:ascii="Arial" w:eastAsiaTheme="minorEastAsia" w:hAnsiTheme="minorHAnsi" w:cstheme="minorBidi"/>
          <w:color w:val="FF0000"/>
          <w:sz w:val="2"/>
          <w:szCs w:val="22"/>
          <w:lang w:val="en-US" w:eastAsia="en-US" w:bidi="ar-SA"/>
        </w:rPr>
        <w:t xml:space="preserve"> </w:t>
      </w:r>
    </w:p>
    <w:p>
      <w:pPr>
        <w:framePr w:w="8437" w:x="1800" w:y="1639"/>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现扣除非经常性损益后归属于母公司净利润</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pacing w:val="1"/>
          <w:sz w:val="21"/>
          <w:szCs w:val="22"/>
          <w:lang w:val="en-US" w:eastAsia="en-US" w:bidi="ar-SA"/>
        </w:rPr>
        <w:t>16,494.02</w:t>
      </w:r>
      <w:r>
        <w:rPr>
          <w:rFonts w:ascii="SimSun" w:hAnsi="SimSun" w:eastAsiaTheme="minorEastAsia" w:cs="SimSun"/>
          <w:color w:val="000000"/>
          <w:spacing w:val="1"/>
          <w:sz w:val="21"/>
          <w:szCs w:val="22"/>
          <w:lang w:val="en-US" w:eastAsia="en-US" w:bidi="ar-SA"/>
        </w:rPr>
        <w:t>万元，较上年同期下降</w:t>
      </w:r>
      <w:r>
        <w:rPr>
          <w:rFonts w:eastAsiaTheme="minorEastAsia" w:hAnsiTheme="minorHAnsi" w:cstheme="minorBidi"/>
          <w:color w:val="000000"/>
          <w:spacing w:val="1"/>
          <w:sz w:val="21"/>
          <w:szCs w:val="22"/>
          <w:lang w:val="en-US" w:eastAsia="en-US" w:bidi="ar-SA"/>
        </w:rPr>
        <w:t xml:space="preserve"> </w:t>
      </w:r>
      <w:r>
        <w:rPr>
          <w:rFonts w:ascii="SimSun" w:eastAsiaTheme="minorEastAsia" w:hAnsiTheme="minorHAnsi" w:cstheme="minorBidi"/>
          <w:color w:val="000000"/>
          <w:spacing w:val="1"/>
          <w:sz w:val="21"/>
          <w:szCs w:val="22"/>
          <w:lang w:val="en-US" w:eastAsia="en-US" w:bidi="ar-SA"/>
        </w:rPr>
        <w:t>22.42%</w:t>
      </w:r>
      <w:r>
        <w:rPr>
          <w:rFonts w:ascii="SimSun" w:hAnsi="SimSun" w:eastAsiaTheme="minorEastAsia" w:cs="SimSun"/>
          <w:color w:val="000000"/>
          <w:sz w:val="21"/>
          <w:szCs w:val="22"/>
          <w:lang w:val="en-US" w:eastAsia="en-US" w:bidi="ar-SA"/>
        </w:rPr>
        <w:t>。</w:t>
      </w:r>
    </w:p>
    <w:p>
      <w:pPr>
        <w:framePr w:w="8437" w:x="1800" w:y="1639"/>
        <w:widowControl w:val="0"/>
        <w:autoSpaceDE w:val="0"/>
        <w:autoSpaceDN w:val="0"/>
        <w:spacing w:before="413" w:line="211" w:lineRule="exact"/>
        <w:ind w:left="420"/>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导致暂停上市的原因</w:t>
      </w:r>
    </w:p>
    <w:p>
      <w:pPr>
        <w:framePr w:w="8437" w:x="1800" w:y="1639"/>
        <w:widowControl w:val="0"/>
        <w:autoSpaceDE w:val="0"/>
        <w:autoSpaceDN w:val="0"/>
        <w:spacing w:before="413"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□适用</w:t>
      </w:r>
      <w:r>
        <w:rPr>
          <w:rFonts w:eastAsiaTheme="minorEastAsia" w:hAnsiTheme="minorHAnsi" w:cstheme="minorBidi"/>
          <w:color w:val="000000"/>
          <w:spacing w:val="156"/>
          <w:sz w:val="21"/>
          <w:szCs w:val="22"/>
          <w:lang w:val="en-US" w:eastAsia="en-US" w:bidi="ar-SA"/>
        </w:rPr>
        <w:t xml:space="preserve"> </w:t>
      </w:r>
      <w:r>
        <w:rPr>
          <w:rFonts w:ascii="SimSun" w:hAnsi="SimSun" w:eastAsiaTheme="minorEastAsia" w:cs="SimSun"/>
          <w:color w:val="000000"/>
          <w:sz w:val="21"/>
          <w:szCs w:val="22"/>
          <w:lang w:val="en-US" w:eastAsia="en-US" w:bidi="ar-SA"/>
        </w:rPr>
        <w:t>√不适用</w:t>
      </w:r>
    </w:p>
    <w:p>
      <w:pPr>
        <w:framePr w:w="8437" w:x="1800" w:y="1639"/>
        <w:widowControl w:val="0"/>
        <w:autoSpaceDE w:val="0"/>
        <w:autoSpaceDN w:val="0"/>
        <w:spacing w:before="413" w:line="211" w:lineRule="exact"/>
        <w:ind w:left="420"/>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面临终止上市的情况和原因</w:t>
      </w:r>
    </w:p>
    <w:p>
      <w:pPr>
        <w:framePr w:w="8437" w:x="1800" w:y="1639"/>
        <w:widowControl w:val="0"/>
        <w:autoSpaceDE w:val="0"/>
        <w:autoSpaceDN w:val="0"/>
        <w:spacing w:before="413"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□适用</w:t>
      </w:r>
      <w:r>
        <w:rPr>
          <w:rFonts w:eastAsiaTheme="minorEastAsia" w:hAnsiTheme="minorHAnsi" w:cstheme="minorBidi"/>
          <w:color w:val="000000"/>
          <w:spacing w:val="156"/>
          <w:sz w:val="21"/>
          <w:szCs w:val="22"/>
          <w:lang w:val="en-US" w:eastAsia="en-US" w:bidi="ar-SA"/>
        </w:rPr>
        <w:t xml:space="preserve"> </w:t>
      </w:r>
      <w:r>
        <w:rPr>
          <w:rFonts w:ascii="SimSun" w:hAnsi="SimSun" w:eastAsiaTheme="minorEastAsia" w:cs="SimSun"/>
          <w:color w:val="000000"/>
          <w:sz w:val="21"/>
          <w:szCs w:val="22"/>
          <w:lang w:val="en-US" w:eastAsia="en-US" w:bidi="ar-SA"/>
        </w:rPr>
        <w:t>√不适用</w:t>
      </w:r>
    </w:p>
    <w:p>
      <w:pPr>
        <w:framePr w:w="8437" w:x="1800" w:y="1639"/>
        <w:widowControl w:val="0"/>
        <w:autoSpaceDE w:val="0"/>
        <w:autoSpaceDN w:val="0"/>
        <w:spacing w:before="413" w:line="211" w:lineRule="exact"/>
        <w:ind w:left="420"/>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公司对会计政策、会计估计变更原因及影响的分析说明</w:t>
      </w:r>
    </w:p>
    <w:p>
      <w:pPr>
        <w:framePr w:w="8437" w:x="1800" w:y="1639"/>
        <w:widowControl w:val="0"/>
        <w:autoSpaceDE w:val="0"/>
        <w:autoSpaceDN w:val="0"/>
        <w:spacing w:before="413"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□适用</w:t>
      </w:r>
      <w:r>
        <w:rPr>
          <w:rFonts w:eastAsiaTheme="minorEastAsia" w:hAnsiTheme="minorHAnsi" w:cstheme="minorBidi"/>
          <w:color w:val="000000"/>
          <w:spacing w:val="156"/>
          <w:sz w:val="21"/>
          <w:szCs w:val="22"/>
          <w:lang w:val="en-US" w:eastAsia="en-US" w:bidi="ar-SA"/>
        </w:rPr>
        <w:t xml:space="preserve"> </w:t>
      </w:r>
      <w:r>
        <w:rPr>
          <w:rFonts w:ascii="SimSun" w:hAnsi="SimSun" w:eastAsiaTheme="minorEastAsia" w:cs="SimSun"/>
          <w:color w:val="000000"/>
          <w:sz w:val="21"/>
          <w:szCs w:val="22"/>
          <w:lang w:val="en-US" w:eastAsia="en-US" w:bidi="ar-SA"/>
        </w:rPr>
        <w:t>√不适用</w:t>
      </w:r>
    </w:p>
    <w:p>
      <w:pPr>
        <w:framePr w:w="8437" w:x="1800" w:y="1639"/>
        <w:widowControl w:val="0"/>
        <w:autoSpaceDE w:val="0"/>
        <w:autoSpaceDN w:val="0"/>
        <w:spacing w:before="413" w:line="211" w:lineRule="exact"/>
        <w:ind w:left="420"/>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公司对重大会计差错更正原因及影响的分析说明</w:t>
      </w:r>
    </w:p>
    <w:p>
      <w:pPr>
        <w:framePr w:w="8437" w:x="1800" w:y="1639"/>
        <w:widowControl w:val="0"/>
        <w:autoSpaceDE w:val="0"/>
        <w:autoSpaceDN w:val="0"/>
        <w:spacing w:before="413"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□适用</w:t>
      </w:r>
      <w:r>
        <w:rPr>
          <w:rFonts w:eastAsiaTheme="minorEastAsia" w:hAnsiTheme="minorHAnsi" w:cstheme="minorBidi"/>
          <w:color w:val="000000"/>
          <w:spacing w:val="156"/>
          <w:sz w:val="21"/>
          <w:szCs w:val="22"/>
          <w:lang w:val="en-US" w:eastAsia="en-US" w:bidi="ar-SA"/>
        </w:rPr>
        <w:t xml:space="preserve"> </w:t>
      </w:r>
      <w:r>
        <w:rPr>
          <w:rFonts w:ascii="SimSun" w:hAnsi="SimSun" w:eastAsiaTheme="minorEastAsia" w:cs="SimSun"/>
          <w:color w:val="000000"/>
          <w:sz w:val="21"/>
          <w:szCs w:val="22"/>
          <w:lang w:val="en-US" w:eastAsia="en-US" w:bidi="ar-SA"/>
        </w:rPr>
        <w:t>√不适用</w:t>
      </w:r>
    </w:p>
    <w:p>
      <w:pPr>
        <w:framePr w:w="8437" w:x="1800" w:y="1639"/>
        <w:widowControl w:val="0"/>
        <w:autoSpaceDE w:val="0"/>
        <w:autoSpaceDN w:val="0"/>
        <w:spacing w:before="413" w:line="211" w:lineRule="exact"/>
        <w:ind w:left="420"/>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与上年度财务报告相比，对财务报表合并范围发生变化的，公司应当作出具体说明。</w:t>
      </w:r>
    </w:p>
    <w:p>
      <w:pPr>
        <w:framePr w:w="8437" w:x="1800" w:y="1639"/>
        <w:widowControl w:val="0"/>
        <w:autoSpaceDE w:val="0"/>
        <w:autoSpaceDN w:val="0"/>
        <w:spacing w:before="257"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√适用</w:t>
      </w:r>
      <w:r>
        <w:rPr>
          <w:rFonts w:eastAsiaTheme="minorEastAsia" w:hAnsiTheme="minorHAnsi" w:cstheme="minorBidi"/>
          <w:color w:val="000000"/>
          <w:spacing w:val="51"/>
          <w:sz w:val="21"/>
          <w:szCs w:val="22"/>
          <w:lang w:val="en-US" w:eastAsia="en-US" w:bidi="ar-SA"/>
        </w:rPr>
        <w:t xml:space="preserve"> </w:t>
      </w:r>
      <w:r>
        <w:rPr>
          <w:rFonts w:ascii="SimSun" w:hAnsi="SimSun" w:eastAsiaTheme="minorEastAsia" w:cs="SimSun"/>
          <w:color w:val="000000"/>
          <w:sz w:val="21"/>
          <w:szCs w:val="22"/>
          <w:lang w:val="en-US" w:eastAsia="en-US" w:bidi="ar-SA"/>
        </w:rPr>
        <w:t>□不适用</w:t>
      </w:r>
    </w:p>
    <w:p>
      <w:pPr>
        <w:framePr w:w="347" w:x="1800" w:y="2243"/>
        <w:widowControl w:val="0"/>
        <w:autoSpaceDE w:val="0"/>
        <w:autoSpaceDN w:val="0"/>
        <w:spacing w:line="258" w:lineRule="exact"/>
        <w:rPr>
          <w:rFonts w:ascii="Calibri" w:eastAsiaTheme="minorEastAsia" w:hAnsiTheme="minorHAnsi" w:cstheme="minorBidi"/>
          <w:color w:val="000000"/>
          <w:sz w:val="21"/>
          <w:szCs w:val="22"/>
          <w:lang w:val="en-US" w:eastAsia="en-US" w:bidi="ar-SA"/>
        </w:rPr>
      </w:pPr>
      <w:r>
        <w:rPr>
          <w:rFonts w:ascii="Calibri" w:eastAsiaTheme="minorEastAsia" w:hAnsiTheme="minorHAnsi" w:cstheme="minorBidi"/>
          <w:color w:val="000000"/>
          <w:sz w:val="21"/>
          <w:szCs w:val="22"/>
          <w:lang w:val="en-US" w:eastAsia="en-US" w:bidi="ar-SA"/>
        </w:rPr>
        <w:t>2</w:t>
      </w:r>
    </w:p>
    <w:p>
      <w:pPr>
        <w:framePr w:w="346" w:x="1800" w:y="3511"/>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3</w:t>
      </w:r>
    </w:p>
    <w:p>
      <w:pPr>
        <w:framePr w:w="347" w:x="1800" w:y="4739"/>
        <w:widowControl w:val="0"/>
        <w:autoSpaceDE w:val="0"/>
        <w:autoSpaceDN w:val="0"/>
        <w:spacing w:line="258" w:lineRule="exact"/>
        <w:rPr>
          <w:rFonts w:ascii="Calibri" w:eastAsiaTheme="minorEastAsia" w:hAnsiTheme="minorHAnsi" w:cstheme="minorBidi"/>
          <w:color w:val="000000"/>
          <w:sz w:val="21"/>
          <w:szCs w:val="22"/>
          <w:lang w:val="en-US" w:eastAsia="en-US" w:bidi="ar-SA"/>
        </w:rPr>
      </w:pPr>
      <w:r>
        <w:rPr>
          <w:rFonts w:ascii="Calibri" w:eastAsiaTheme="minorEastAsia" w:hAnsiTheme="minorHAnsi" w:cstheme="minorBidi"/>
          <w:color w:val="000000"/>
          <w:sz w:val="21"/>
          <w:szCs w:val="22"/>
          <w:lang w:val="en-US" w:eastAsia="en-US" w:bidi="ar-SA"/>
        </w:rPr>
        <w:t>4</w:t>
      </w:r>
    </w:p>
    <w:p>
      <w:pPr>
        <w:framePr w:w="347" w:x="1800" w:y="5988"/>
        <w:widowControl w:val="0"/>
        <w:autoSpaceDE w:val="0"/>
        <w:autoSpaceDN w:val="0"/>
        <w:spacing w:line="258" w:lineRule="exact"/>
        <w:rPr>
          <w:rFonts w:ascii="Calibri" w:eastAsiaTheme="minorEastAsia" w:hAnsiTheme="minorHAnsi" w:cstheme="minorBidi"/>
          <w:color w:val="000000"/>
          <w:sz w:val="21"/>
          <w:szCs w:val="22"/>
          <w:lang w:val="en-US" w:eastAsia="en-US" w:bidi="ar-SA"/>
        </w:rPr>
      </w:pPr>
      <w:r>
        <w:rPr>
          <w:rFonts w:ascii="Calibri" w:eastAsiaTheme="minorEastAsia" w:hAnsiTheme="minorHAnsi" w:cstheme="minorBidi"/>
          <w:color w:val="000000"/>
          <w:sz w:val="21"/>
          <w:szCs w:val="22"/>
          <w:lang w:val="en-US" w:eastAsia="en-US" w:bidi="ar-SA"/>
        </w:rPr>
        <w:t>5</w:t>
      </w:r>
    </w:p>
    <w:p>
      <w:pPr>
        <w:framePr w:w="346" w:x="1800" w:y="7255"/>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z w:val="21"/>
          <w:szCs w:val="22"/>
          <w:lang w:val="en-US" w:eastAsia="en-US" w:bidi="ar-SA"/>
        </w:rPr>
        <w:t>6</w:t>
      </w:r>
    </w:p>
    <w:p>
      <w:pPr>
        <w:framePr w:w="4740" w:x="2220" w:y="8283"/>
        <w:widowControl w:val="0"/>
        <w:autoSpaceDE w:val="0"/>
        <w:autoSpaceDN w:val="0"/>
        <w:spacing w:line="180" w:lineRule="exact"/>
        <w:rPr>
          <w:rFonts w:eastAsiaTheme="minorEastAsia" w:hAnsiTheme="minorHAnsi" w:cstheme="minorBidi"/>
          <w:color w:val="000000"/>
          <w:sz w:val="18"/>
          <w:szCs w:val="22"/>
          <w:lang w:val="en-US" w:eastAsia="en-US" w:bidi="ar-SA"/>
        </w:rPr>
      </w:pPr>
      <w:r>
        <w:rPr>
          <w:rFonts w:ascii="SimSun" w:hAnsi="SimSun" w:eastAsiaTheme="minorEastAsia" w:cs="SimSun"/>
          <w:color w:val="000000"/>
          <w:sz w:val="18"/>
          <w:szCs w:val="22"/>
          <w:lang w:val="en-US" w:eastAsia="en-US" w:bidi="ar-SA"/>
        </w:rPr>
        <w:t>本期纳入合并财务报表范围的子公司共十户，具体包括：</w:t>
      </w:r>
    </w:p>
    <w:p>
      <w:pPr>
        <w:framePr w:w="1296" w:x="8937" w:y="8710"/>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表决权比例</w:t>
      </w:r>
    </w:p>
    <w:p>
      <w:pPr>
        <w:framePr w:w="1296" w:x="2638" w:y="8847"/>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子公司名称</w:t>
      </w:r>
    </w:p>
    <w:p>
      <w:pPr>
        <w:framePr w:w="1296" w:x="5022" w:y="8847"/>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子公司类型</w:t>
      </w:r>
    </w:p>
    <w:p>
      <w:pPr>
        <w:framePr w:w="2290" w:x="6616" w:y="8847"/>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级次</w:t>
      </w:r>
      <w:r>
        <w:rPr>
          <w:rFonts w:eastAsiaTheme="minorEastAsia" w:hAnsiTheme="minorHAnsi" w:cstheme="minorBidi"/>
          <w:color w:val="000000"/>
          <w:spacing w:val="207"/>
          <w:sz w:val="21"/>
          <w:szCs w:val="22"/>
          <w:lang w:val="en-US" w:eastAsia="en-US" w:bidi="ar-SA"/>
        </w:rPr>
        <w:t xml:space="preserve"> </w:t>
      </w:r>
      <w:r>
        <w:rPr>
          <w:rFonts w:ascii="SimSun" w:hAnsi="SimSun" w:eastAsiaTheme="minorEastAsia" w:cs="SimSun"/>
          <w:color w:val="000000"/>
          <w:sz w:val="21"/>
          <w:szCs w:val="22"/>
          <w:lang w:val="en-US" w:eastAsia="en-US" w:bidi="ar-SA"/>
        </w:rPr>
        <w:t>持股比例（</w:t>
      </w:r>
      <w:r>
        <w:rPr>
          <w:rFonts w:ascii="SimSun" w:eastAsiaTheme="minorEastAsia" w:hAnsiTheme="minorHAnsi" w:cstheme="minorBidi"/>
          <w:color w:val="000000"/>
          <w:spacing w:val="1"/>
          <w:sz w:val="21"/>
          <w:szCs w:val="22"/>
          <w:lang w:val="en-US" w:eastAsia="en-US" w:bidi="ar-SA"/>
        </w:rPr>
        <w:t>%</w:t>
      </w:r>
      <w:r>
        <w:rPr>
          <w:rFonts w:ascii="SimSun" w:hAnsi="SimSun" w:eastAsiaTheme="minorEastAsia" w:cs="SimSun"/>
          <w:color w:val="000000"/>
          <w:sz w:val="21"/>
          <w:szCs w:val="22"/>
          <w:lang w:val="en-US" w:eastAsia="en-US" w:bidi="ar-SA"/>
        </w:rPr>
        <w:t>）</w:t>
      </w:r>
    </w:p>
    <w:p>
      <w:pPr>
        <w:framePr w:w="768" w:x="9199" w:y="8984"/>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w:t>
      </w:r>
      <w:r>
        <w:rPr>
          <w:rFonts w:ascii="SimSun" w:eastAsiaTheme="minorEastAsia" w:hAnsiTheme="minorHAnsi" w:cstheme="minorBidi"/>
          <w:color w:val="000000"/>
          <w:spacing w:val="1"/>
          <w:sz w:val="21"/>
          <w:szCs w:val="22"/>
          <w:lang w:val="en-US" w:eastAsia="en-US" w:bidi="ar-SA"/>
        </w:rPr>
        <w:t>%</w:t>
      </w:r>
      <w:r>
        <w:rPr>
          <w:rFonts w:ascii="SimSun" w:hAnsi="SimSun" w:eastAsiaTheme="minorEastAsia" w:cs="SimSun"/>
          <w:color w:val="000000"/>
          <w:sz w:val="21"/>
          <w:szCs w:val="22"/>
          <w:lang w:val="en-US" w:eastAsia="en-US" w:bidi="ar-SA"/>
        </w:rPr>
        <w:t>）</w:t>
      </w:r>
    </w:p>
    <w:p>
      <w:pPr>
        <w:framePr w:w="1085" w:x="2744" w:y="9296"/>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潍坊先达</w:t>
      </w:r>
    </w:p>
    <w:p>
      <w:pPr>
        <w:framePr w:w="1085" w:x="2744" w:y="9296"/>
        <w:widowControl w:val="0"/>
        <w:autoSpaceDE w:val="0"/>
        <w:autoSpaceDN w:val="0"/>
        <w:spacing w:before="139"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济南先达</w:t>
      </w:r>
    </w:p>
    <w:p>
      <w:pPr>
        <w:framePr w:w="1296" w:x="5022" w:y="9296"/>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全资子公司</w:t>
      </w:r>
    </w:p>
    <w:p>
      <w:pPr>
        <w:framePr w:w="1296" w:x="5022" w:y="9296"/>
        <w:widowControl w:val="0"/>
        <w:autoSpaceDE w:val="0"/>
        <w:autoSpaceDN w:val="0"/>
        <w:spacing w:before="139"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全资子公司</w:t>
      </w:r>
    </w:p>
    <w:p>
      <w:pPr>
        <w:framePr w:w="1296" w:x="5022" w:y="9296"/>
        <w:widowControl w:val="0"/>
        <w:autoSpaceDE w:val="0"/>
        <w:autoSpaceDN w:val="0"/>
        <w:spacing w:before="139"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全资子公司</w:t>
      </w:r>
    </w:p>
    <w:p>
      <w:pPr>
        <w:framePr w:w="1296" w:x="5022" w:y="9296"/>
        <w:widowControl w:val="0"/>
        <w:autoSpaceDE w:val="0"/>
        <w:autoSpaceDN w:val="0"/>
        <w:spacing w:before="139"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全资子公司</w:t>
      </w:r>
    </w:p>
    <w:p>
      <w:pPr>
        <w:framePr w:w="1296" w:x="5022" w:y="9296"/>
        <w:widowControl w:val="0"/>
        <w:autoSpaceDE w:val="0"/>
        <w:autoSpaceDN w:val="0"/>
        <w:spacing w:before="137"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全资子公司</w:t>
      </w:r>
    </w:p>
    <w:p>
      <w:pPr>
        <w:framePr w:w="662" w:x="6616" w:y="9296"/>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一级</w:t>
      </w:r>
    </w:p>
    <w:p>
      <w:pPr>
        <w:framePr w:w="662" w:x="6616" w:y="9296"/>
        <w:widowControl w:val="0"/>
        <w:autoSpaceDE w:val="0"/>
        <w:autoSpaceDN w:val="0"/>
        <w:spacing w:before="139"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一级</w:t>
      </w:r>
    </w:p>
    <w:p>
      <w:pPr>
        <w:framePr w:w="662" w:x="6616" w:y="9296"/>
        <w:widowControl w:val="0"/>
        <w:autoSpaceDE w:val="0"/>
        <w:autoSpaceDN w:val="0"/>
        <w:spacing w:before="139"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一级</w:t>
      </w:r>
    </w:p>
    <w:p>
      <w:pPr>
        <w:framePr w:w="662" w:x="6616" w:y="9296"/>
        <w:widowControl w:val="0"/>
        <w:autoSpaceDE w:val="0"/>
        <w:autoSpaceDN w:val="0"/>
        <w:spacing w:before="139"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一级</w:t>
      </w:r>
    </w:p>
    <w:p>
      <w:pPr>
        <w:framePr w:w="662" w:x="6616" w:y="9296"/>
        <w:widowControl w:val="0"/>
        <w:autoSpaceDE w:val="0"/>
        <w:autoSpaceDN w:val="0"/>
        <w:spacing w:before="137"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一级</w:t>
      </w:r>
    </w:p>
    <w:p>
      <w:pPr>
        <w:framePr w:w="662" w:x="6616" w:y="9296"/>
        <w:widowControl w:val="0"/>
        <w:autoSpaceDE w:val="0"/>
        <w:autoSpaceDN w:val="0"/>
        <w:spacing w:before="108"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二级</w:t>
      </w:r>
    </w:p>
    <w:p>
      <w:pPr>
        <w:framePr w:w="557" w:x="7789" w:y="9296"/>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100</w:t>
      </w:r>
    </w:p>
    <w:p>
      <w:pPr>
        <w:framePr w:w="557" w:x="7789" w:y="9296"/>
        <w:widowControl w:val="0"/>
        <w:autoSpaceDE w:val="0"/>
        <w:autoSpaceDN w:val="0"/>
        <w:spacing w:before="139"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100</w:t>
      </w:r>
    </w:p>
    <w:p>
      <w:pPr>
        <w:framePr w:w="557" w:x="7789" w:y="9296"/>
        <w:widowControl w:val="0"/>
        <w:autoSpaceDE w:val="0"/>
        <w:autoSpaceDN w:val="0"/>
        <w:spacing w:before="139"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100</w:t>
      </w:r>
    </w:p>
    <w:p>
      <w:pPr>
        <w:framePr w:w="557" w:x="7789" w:y="9296"/>
        <w:widowControl w:val="0"/>
        <w:autoSpaceDE w:val="0"/>
        <w:autoSpaceDN w:val="0"/>
        <w:spacing w:before="139"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100</w:t>
      </w:r>
    </w:p>
    <w:p>
      <w:pPr>
        <w:framePr w:w="557" w:x="7789" w:y="9296"/>
        <w:widowControl w:val="0"/>
        <w:autoSpaceDE w:val="0"/>
        <w:autoSpaceDN w:val="0"/>
        <w:spacing w:before="137"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100</w:t>
      </w:r>
    </w:p>
    <w:p>
      <w:pPr>
        <w:framePr w:w="557" w:x="7789" w:y="9296"/>
        <w:widowControl w:val="0"/>
        <w:autoSpaceDE w:val="0"/>
        <w:autoSpaceDN w:val="0"/>
        <w:spacing w:before="108"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100</w:t>
      </w:r>
    </w:p>
    <w:p>
      <w:pPr>
        <w:framePr w:w="557" w:x="9304" w:y="9296"/>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100</w:t>
      </w:r>
    </w:p>
    <w:p>
      <w:pPr>
        <w:framePr w:w="557" w:x="9304" w:y="9296"/>
        <w:widowControl w:val="0"/>
        <w:autoSpaceDE w:val="0"/>
        <w:autoSpaceDN w:val="0"/>
        <w:spacing w:before="139"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100</w:t>
      </w:r>
    </w:p>
    <w:p>
      <w:pPr>
        <w:framePr w:w="557" w:x="9304" w:y="9296"/>
        <w:widowControl w:val="0"/>
        <w:autoSpaceDE w:val="0"/>
        <w:autoSpaceDN w:val="0"/>
        <w:spacing w:before="139"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100</w:t>
      </w:r>
    </w:p>
    <w:p>
      <w:pPr>
        <w:framePr w:w="557" w:x="9304" w:y="9296"/>
        <w:widowControl w:val="0"/>
        <w:autoSpaceDE w:val="0"/>
        <w:autoSpaceDN w:val="0"/>
        <w:spacing w:before="139"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100</w:t>
      </w:r>
    </w:p>
    <w:p>
      <w:pPr>
        <w:framePr w:w="557" w:x="9304" w:y="9296"/>
        <w:widowControl w:val="0"/>
        <w:autoSpaceDE w:val="0"/>
        <w:autoSpaceDN w:val="0"/>
        <w:spacing w:before="137"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100</w:t>
      </w:r>
    </w:p>
    <w:p>
      <w:pPr>
        <w:framePr w:w="557" w:x="9304" w:y="9296"/>
        <w:widowControl w:val="0"/>
        <w:autoSpaceDE w:val="0"/>
        <w:autoSpaceDN w:val="0"/>
        <w:spacing w:before="108"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100</w:t>
      </w:r>
    </w:p>
    <w:p>
      <w:pPr>
        <w:framePr w:w="1085" w:x="2744" w:y="9997"/>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辽宁先达</w:t>
      </w:r>
    </w:p>
    <w:p>
      <w:pPr>
        <w:framePr w:w="1507" w:x="2532" w:y="10347"/>
        <w:widowControl w:val="0"/>
        <w:autoSpaceDE w:val="0"/>
        <w:autoSpaceDN w:val="0"/>
        <w:spacing w:line="211" w:lineRule="exact"/>
        <w:ind w:left="106"/>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济南瑞斯邦</w:t>
      </w:r>
    </w:p>
    <w:p>
      <w:pPr>
        <w:framePr w:w="1507" w:x="2532" w:y="10347"/>
        <w:widowControl w:val="0"/>
        <w:autoSpaceDE w:val="0"/>
        <w:autoSpaceDN w:val="0"/>
        <w:spacing w:before="137"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博兴县盛信达</w:t>
      </w:r>
    </w:p>
    <w:p>
      <w:pPr>
        <w:framePr w:w="1085" w:x="2744" w:y="11082"/>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沈阳万菱</w:t>
      </w:r>
    </w:p>
    <w:p>
      <w:pPr>
        <w:framePr w:w="1296" w:x="5022" w:y="11082"/>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全资孙公司</w:t>
      </w:r>
    </w:p>
    <w:p>
      <w:pPr>
        <w:framePr w:w="662" w:x="6616" w:y="11434"/>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二级</w:t>
      </w:r>
    </w:p>
    <w:p>
      <w:pPr>
        <w:framePr w:w="557" w:x="7789" w:y="11434"/>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100</w:t>
      </w:r>
    </w:p>
    <w:p>
      <w:pPr>
        <w:framePr w:w="557" w:x="9304" w:y="11434"/>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100</w:t>
      </w:r>
    </w:p>
    <w:p>
      <w:pPr>
        <w:framePr w:w="1085" w:x="2744" w:y="11499"/>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沈阳先达</w:t>
      </w:r>
    </w:p>
    <w:p>
      <w:pPr>
        <w:framePr w:w="1085" w:x="2744" w:y="11499"/>
        <w:widowControl w:val="0"/>
        <w:autoSpaceDE w:val="0"/>
        <w:autoSpaceDN w:val="0"/>
        <w:spacing w:before="173"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香港德胜</w:t>
      </w:r>
    </w:p>
    <w:p>
      <w:pPr>
        <w:framePr w:w="1085" w:x="2744" w:y="11499"/>
        <w:widowControl w:val="0"/>
        <w:autoSpaceDE w:val="0"/>
        <w:autoSpaceDN w:val="0"/>
        <w:spacing w:before="173"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印尼中农</w:t>
      </w:r>
    </w:p>
    <w:p>
      <w:pPr>
        <w:framePr w:w="1296" w:x="5022" w:y="11499"/>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全资孙公司</w:t>
      </w:r>
    </w:p>
    <w:p>
      <w:pPr>
        <w:framePr w:w="1296" w:x="5022" w:y="11499"/>
        <w:widowControl w:val="0"/>
        <w:autoSpaceDE w:val="0"/>
        <w:autoSpaceDN w:val="0"/>
        <w:spacing w:before="173"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全资子公司</w:t>
      </w:r>
    </w:p>
    <w:p>
      <w:pPr>
        <w:framePr w:w="1296" w:x="5022" w:y="11499"/>
        <w:widowControl w:val="0"/>
        <w:autoSpaceDE w:val="0"/>
        <w:autoSpaceDN w:val="0"/>
        <w:spacing w:before="173"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全资孙公司</w:t>
      </w:r>
    </w:p>
    <w:p>
      <w:pPr>
        <w:framePr w:w="662" w:x="6616" w:y="11883"/>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一级</w:t>
      </w:r>
    </w:p>
    <w:p>
      <w:pPr>
        <w:framePr w:w="662" w:x="6616" w:y="11883"/>
        <w:widowControl w:val="0"/>
        <w:autoSpaceDE w:val="0"/>
        <w:autoSpaceDN w:val="0"/>
        <w:spacing w:before="108"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二级</w:t>
      </w:r>
    </w:p>
    <w:p>
      <w:pPr>
        <w:framePr w:w="557" w:x="7789" w:y="11883"/>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100</w:t>
      </w:r>
    </w:p>
    <w:p>
      <w:pPr>
        <w:framePr w:w="557" w:x="7789" w:y="11883"/>
        <w:widowControl w:val="0"/>
        <w:autoSpaceDE w:val="0"/>
        <w:autoSpaceDN w:val="0"/>
        <w:spacing w:before="108"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100</w:t>
      </w:r>
    </w:p>
    <w:p>
      <w:pPr>
        <w:framePr w:w="557" w:x="9304" w:y="11883"/>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100</w:t>
      </w:r>
    </w:p>
    <w:p>
      <w:pPr>
        <w:framePr w:w="557" w:x="9304" w:y="11883"/>
        <w:widowControl w:val="0"/>
        <w:autoSpaceDE w:val="0"/>
        <w:autoSpaceDN w:val="0"/>
        <w:spacing w:before="108"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100</w:t>
      </w:r>
    </w:p>
    <w:p>
      <w:pPr>
        <w:framePr w:w="662" w:x="6616" w:y="12620"/>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二级</w:t>
      </w:r>
    </w:p>
    <w:p>
      <w:pPr>
        <w:framePr w:w="557" w:x="7789" w:y="12620"/>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100</w:t>
      </w:r>
    </w:p>
    <w:p>
      <w:pPr>
        <w:framePr w:w="557" w:x="9304" w:y="12620"/>
        <w:widowControl w:val="0"/>
        <w:autoSpaceDE w:val="0"/>
        <w:autoSpaceDN w:val="0"/>
        <w:spacing w:line="211" w:lineRule="exact"/>
        <w:rPr>
          <w:rFonts w:ascii="SimSun"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100</w:t>
      </w:r>
    </w:p>
    <w:p>
      <w:pPr>
        <w:framePr w:w="1085" w:x="2744" w:y="12688"/>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巴西光华</w:t>
      </w:r>
    </w:p>
    <w:p>
      <w:pPr>
        <w:framePr w:w="1296" w:x="5022" w:y="12688"/>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全资孙公司</w:t>
      </w:r>
    </w:p>
    <w:p>
      <w:pPr>
        <w:framePr w:w="9075" w:x="1800" w:y="13314"/>
        <w:widowControl w:val="0"/>
        <w:autoSpaceDE w:val="0"/>
        <w:autoSpaceDN w:val="0"/>
        <w:spacing w:line="211" w:lineRule="exact"/>
        <w:ind w:left="420"/>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本期纳入合并财务报表范围的主体较上期相比，增加</w:t>
      </w:r>
      <w:r>
        <w:rPr>
          <w:rFonts w:eastAsiaTheme="minorEastAsia" w:hAnsiTheme="minorHAnsi" w:cstheme="minorBidi"/>
          <w:color w:val="000000"/>
          <w:spacing w:val="2"/>
          <w:sz w:val="21"/>
          <w:szCs w:val="22"/>
          <w:lang w:val="en-US" w:eastAsia="en-US" w:bidi="ar-SA"/>
        </w:rPr>
        <w:t xml:space="preserve"> </w:t>
      </w:r>
      <w:r>
        <w:rPr>
          <w:rFonts w:ascii="SimSun" w:eastAsiaTheme="minorEastAsia" w:hAnsiTheme="minorHAnsi" w:cstheme="minorBidi"/>
          <w:color w:val="000000"/>
          <w:spacing w:val="53"/>
          <w:sz w:val="21"/>
          <w:szCs w:val="22"/>
          <w:lang w:val="en-US" w:eastAsia="en-US" w:bidi="ar-SA"/>
        </w:rPr>
        <w:t>3</w:t>
      </w:r>
      <w:r>
        <w:rPr>
          <w:rFonts w:ascii="SimSun" w:hAnsi="SimSun" w:eastAsiaTheme="minorEastAsia" w:cs="SimSun"/>
          <w:color w:val="000000"/>
          <w:sz w:val="21"/>
          <w:szCs w:val="22"/>
          <w:lang w:val="en-US" w:eastAsia="en-US" w:bidi="ar-SA"/>
        </w:rPr>
        <w:t>户，其中：</w:t>
      </w:r>
    </w:p>
    <w:p>
      <w:pPr>
        <w:framePr w:w="9075" w:x="1800" w:y="13314"/>
        <w:widowControl w:val="0"/>
        <w:autoSpaceDE w:val="0"/>
        <w:autoSpaceDN w:val="0"/>
        <w:spacing w:before="413" w:line="211" w:lineRule="exact"/>
        <w:ind w:left="420"/>
        <w:rPr>
          <w:rFonts w:eastAsiaTheme="minorEastAsia" w:hAnsiTheme="minorHAnsi" w:cstheme="minorBidi"/>
          <w:color w:val="000000"/>
          <w:sz w:val="21"/>
          <w:szCs w:val="22"/>
          <w:lang w:val="en-US" w:eastAsia="en-US" w:bidi="ar-SA"/>
        </w:rPr>
      </w:pPr>
      <w:r>
        <w:rPr>
          <w:rFonts w:ascii="SimSun" w:eastAsiaTheme="minorEastAsia" w:hAnsiTheme="minorHAnsi" w:cstheme="minorBidi"/>
          <w:color w:val="000000"/>
          <w:spacing w:val="1"/>
          <w:sz w:val="21"/>
          <w:szCs w:val="22"/>
          <w:lang w:val="en-US" w:eastAsia="en-US" w:bidi="ar-SA"/>
        </w:rPr>
        <w:t>1.</w:t>
      </w:r>
      <w:r>
        <w:rPr>
          <w:rFonts w:ascii="SimSun" w:hAnsi="SimSun" w:eastAsiaTheme="minorEastAsia" w:cs="SimSun"/>
          <w:color w:val="000000"/>
          <w:sz w:val="21"/>
          <w:szCs w:val="22"/>
          <w:lang w:val="en-US" w:eastAsia="en-US" w:bidi="ar-SA"/>
        </w:rPr>
        <w:t>本期新纳入合并范围的子公司、特殊目的主体、通过受托经营或承租等方式形成控制权的</w:t>
      </w:r>
    </w:p>
    <w:p>
      <w:pPr>
        <w:framePr w:w="9075" w:x="1800" w:y="13314"/>
        <w:widowControl w:val="0"/>
        <w:autoSpaceDE w:val="0"/>
        <w:autoSpaceDN w:val="0"/>
        <w:spacing w:before="257"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经营实体</w:t>
      </w:r>
    </w:p>
    <w:p>
      <w:pPr>
        <w:framePr w:w="662" w:x="3166" w:y="14996"/>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名称</w:t>
      </w:r>
    </w:p>
    <w:p>
      <w:pPr>
        <w:framePr w:w="1085" w:x="7223" w:y="14996"/>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变更原因</w:t>
      </w: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r>
        <w:rPr>
          <w:noProof/>
        </w:rPr>
        <w:pict>
          <v:shape id="_x0000_s1034" type="#_x0000_t75" style="width:429.15pt;height:220.95pt;margin-top:431.55pt;margin-left:82.9pt;mso-position-horizontal-relative:page;mso-position-vertical-relative:page;position:absolute;z-index:-251649024">
            <v:imagedata r:id="rId13" o:title=""/>
          </v:shape>
        </w:pict>
      </w:r>
      <w:r>
        <w:rPr>
          <w:noProof/>
        </w:rPr>
        <w:pict>
          <v:shape id="_x0000_s1035" type="#_x0000_t75" style="width:429.15pt;height:22.05pt;margin-top:744.1pt;margin-left:82.9pt;mso-position-horizontal-relative:page;mso-position-vertical-relative:page;position:absolute;z-index:-251654144">
            <v:imagedata r:id="rId14" o:title=""/>
          </v:shape>
        </w:pict>
      </w:r>
    </w:p>
    <w:p>
      <w:pPr>
        <w:spacing w:line="0" w:lineRule="atLeast"/>
        <w:rPr>
          <w:rFonts w:ascii="Arial" w:eastAsiaTheme="minorEastAsia" w:hAnsiTheme="minorHAnsi" w:cstheme="minorBidi"/>
          <w:color w:val="FF0000"/>
          <w:sz w:val="2"/>
          <w:szCs w:val="22"/>
          <w:lang w:val="en-US" w:eastAsia="en-US" w:bidi="ar-SA"/>
        </w:rPr>
      </w:pPr>
      <w:bookmarkStart w:id="7" w:name="br1_6"/>
      <w:bookmarkEnd w:id="7"/>
      <w:r>
        <w:rPr>
          <w:rFonts w:ascii="Arial" w:eastAsiaTheme="minorEastAsia" w:hAnsiTheme="minorHAnsi" w:cstheme="minorBidi"/>
          <w:color w:val="FF0000"/>
          <w:sz w:val="2"/>
          <w:szCs w:val="22"/>
          <w:lang w:val="en-US" w:eastAsia="en-US" w:bidi="ar-SA"/>
        </w:rPr>
        <w:t xml:space="preserve"> </w:t>
      </w:r>
    </w:p>
    <w:p>
      <w:pPr>
        <w:framePr w:w="662" w:x="3166" w:y="1605"/>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1"/>
          <w:sz w:val="21"/>
          <w:szCs w:val="22"/>
          <w:lang w:val="en-US" w:eastAsia="en-US" w:bidi="ar-SA"/>
        </w:rPr>
        <w:t>名称</w:t>
      </w:r>
    </w:p>
    <w:p>
      <w:pPr>
        <w:framePr w:w="1085" w:x="7223" w:y="1605"/>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变更原因</w:t>
      </w:r>
    </w:p>
    <w:p>
      <w:pPr>
        <w:framePr w:w="1085" w:x="7223" w:y="1605"/>
        <w:widowControl w:val="0"/>
        <w:autoSpaceDE w:val="0"/>
        <w:autoSpaceDN w:val="0"/>
        <w:spacing w:before="139"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新设投资</w:t>
      </w:r>
    </w:p>
    <w:p>
      <w:pPr>
        <w:framePr w:w="1085" w:x="7223" w:y="1605"/>
        <w:widowControl w:val="0"/>
        <w:autoSpaceDE w:val="0"/>
        <w:autoSpaceDN w:val="0"/>
        <w:spacing w:before="139"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新设投资</w:t>
      </w:r>
    </w:p>
    <w:p>
      <w:pPr>
        <w:framePr w:w="1085" w:x="7223" w:y="1605"/>
        <w:widowControl w:val="0"/>
        <w:autoSpaceDE w:val="0"/>
        <w:autoSpaceDN w:val="0"/>
        <w:spacing w:before="137"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新设投资</w:t>
      </w:r>
    </w:p>
    <w:p>
      <w:pPr>
        <w:framePr w:w="1085" w:x="2957" w:y="1956"/>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香港德胜</w:t>
      </w:r>
    </w:p>
    <w:p>
      <w:pPr>
        <w:framePr w:w="1085" w:x="2957" w:y="1956"/>
        <w:widowControl w:val="0"/>
        <w:autoSpaceDE w:val="0"/>
        <w:autoSpaceDN w:val="0"/>
        <w:spacing w:before="139"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印尼中农</w:t>
      </w:r>
    </w:p>
    <w:p>
      <w:pPr>
        <w:framePr w:w="1085" w:x="2957" w:y="1956"/>
        <w:widowControl w:val="0"/>
        <w:autoSpaceDE w:val="0"/>
        <w:autoSpaceDN w:val="0"/>
        <w:spacing w:before="137"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z w:val="21"/>
          <w:szCs w:val="22"/>
          <w:lang w:val="en-US" w:eastAsia="en-US" w:bidi="ar-SA"/>
        </w:rPr>
        <w:t>巴西光华</w:t>
      </w:r>
    </w:p>
    <w:p>
      <w:pPr>
        <w:framePr w:w="6365" w:x="2220" w:y="3244"/>
        <w:widowControl w:val="0"/>
        <w:autoSpaceDE w:val="0"/>
        <w:autoSpaceDN w:val="0"/>
        <w:spacing w:line="211" w:lineRule="exact"/>
        <w:rPr>
          <w:rFonts w:eastAsiaTheme="minorEastAsia" w:hAnsiTheme="minorHAnsi" w:cstheme="minorBidi"/>
          <w:color w:val="000000"/>
          <w:sz w:val="21"/>
          <w:szCs w:val="22"/>
          <w:lang w:val="en-US" w:eastAsia="en-US" w:bidi="ar-SA"/>
        </w:rPr>
      </w:pPr>
      <w:r>
        <w:rPr>
          <w:rFonts w:ascii="SimSun" w:hAnsi="SimSun" w:eastAsiaTheme="minorEastAsia" w:cs="SimSun"/>
          <w:color w:val="000000"/>
          <w:spacing w:val="-3"/>
          <w:sz w:val="21"/>
          <w:szCs w:val="22"/>
          <w:lang w:val="en-US" w:eastAsia="en-US" w:bidi="ar-SA"/>
        </w:rPr>
        <w:t>合并范围变更主体的具体信息详见“附注八、合并范围的变更”。</w:t>
      </w:r>
    </w:p>
    <w:p>
      <w:pPr>
        <w:spacing w:line="0" w:lineRule="atLeast"/>
        <w:rPr>
          <w:rFonts w:ascii="Arial" w:eastAsiaTheme="minorEastAsia" w:hAnsiTheme="minorHAnsi" w:cstheme="minorBidi"/>
          <w:color w:val="FF0000"/>
          <w:sz w:val="2"/>
          <w:szCs w:val="22"/>
          <w:lang w:val="en-US" w:eastAsia="en-US" w:bidi="ar-SA"/>
        </w:rPr>
      </w:pPr>
      <w:r>
        <w:rPr>
          <w:noProof/>
        </w:rPr>
        <w:pict>
          <v:shape id="_x0000_s1036" type="#_x0000_t75" style="width:429.15pt;height:74.5pt;margin-top:74.5pt;margin-left:82.9pt;mso-position-horizontal-relative:page;mso-position-vertical-relative:page;position:absolute;z-index:-251653120">
            <v:imagedata r:id="rId15" o:title=""/>
          </v:shape>
        </w:pict>
      </w:r>
    </w:p>
    <w:sectPr>
      <w:pgSz w:w="11900" w:h="16820"/>
      <w:pgMar w:top="0" w:right="0" w:bottom="0" w:left="0" w:header="720" w:footer="720" w:gutter="0"/>
      <w:pgNumType w:start="1"/>
      <w:cols w:sep="0" w:space="720"/>
      <w:docGrid w:linePitch="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alibri">
    <w:panose1 w:val="020F0502020204030204"/>
    <w:charset w:val="CC"/>
    <w:family w:val="swiss"/>
    <w:pitch w:val="variable"/>
    <w:sig w:usb0="01010101" w:usb1="01010101" w:usb2="01010101" w:usb3="01010101" w:csb0="01010105" w:csb1="01010101"/>
  </w:font>
  <w:font w:name="Cambria Math">
    <w:panose1 w:val="02040503050406030204"/>
    <w:charset w:val="CC"/>
    <w:family w:val="roman"/>
    <w:pitch w:val="variable"/>
    <w:sig w:usb0="01010101" w:usb1="01010101" w:usb2="01010101" w:usb3="01010101" w:csb0="01010105" w:csb1="01010101"/>
  </w:font>
  <w:font w:name="SimSun">
    <w:panose1 w:val="00000000000000000000"/>
    <w:charset w:val="01"/>
    <w:family w:val="auto"/>
    <w:notTrueType/>
    <w:pitch w:val="default"/>
    <w:sig w:usb0="01010101" w:usb1="01010101" w:usb2="01010101" w:usb3="01010101" w:csb0="01010101" w:csb1="01010101"/>
  </w:font>
  <w:font w:name="SimHei">
    <w:panose1 w:val="00000000000000000000"/>
    <w:charset w:val="01"/>
    <w:family w:val="auto"/>
    <w:notTrueType/>
    <w:pitch w:val="default"/>
    <w:sig w:usb0="01010101" w:usb1="01010101" w:usb2="01010101" w:usb3="01010101" w:csb0="01010101" w:csb1="01010101"/>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jpeg" /><Relationship Id="rId11" Type="http://schemas.openxmlformats.org/officeDocument/2006/relationships/image" Target="media/image8.jpeg" /><Relationship Id="rId12" Type="http://schemas.openxmlformats.org/officeDocument/2006/relationships/image" Target="media/image9.jpeg" /><Relationship Id="rId13" Type="http://schemas.openxmlformats.org/officeDocument/2006/relationships/image" Target="media/image10.jpeg" /><Relationship Id="rId14" Type="http://schemas.openxmlformats.org/officeDocument/2006/relationships/image" Target="media/image11.jpeg" /><Relationship Id="rId15" Type="http://schemas.openxmlformats.org/officeDocument/2006/relationships/image" Target="media/image12.jpeg"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image" Target="media/image3.jpeg" /><Relationship Id="rId7" Type="http://schemas.openxmlformats.org/officeDocument/2006/relationships/image" Target="media/image4.jpeg" /><Relationship Id="rId8" Type="http://schemas.openxmlformats.org/officeDocument/2006/relationships/image" Target="media/image5.jpeg" /><Relationship Id="rId9" Type="http://schemas.openxmlformats.org/officeDocument/2006/relationships/image" Target="media/image6.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